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0C" w:rsidRPr="00872429" w:rsidRDefault="0089480C" w:rsidP="00CF6F4B">
      <w:pPr>
        <w:ind w:firstLine="0"/>
        <w:rPr>
          <w:rFonts w:ascii="Arial" w:hAnsi="Arial" w:cs="Arial"/>
          <w:b/>
          <w:sz w:val="32"/>
        </w:rPr>
      </w:pPr>
      <w:r w:rsidRPr="00872429">
        <w:rPr>
          <w:rFonts w:ascii="Arial" w:hAnsi="Arial" w:cs="Arial"/>
          <w:b/>
          <w:sz w:val="32"/>
        </w:rPr>
        <w:t xml:space="preserve">Registro de insumos farmacêuticos ativos: impactos e reflexos sobre as indústrias farmoquímica e farmacêutica instaladas no </w:t>
      </w:r>
      <w:r w:rsidR="00CD7E9D" w:rsidRPr="00872429">
        <w:rPr>
          <w:rFonts w:ascii="Arial" w:hAnsi="Arial" w:cs="Arial"/>
          <w:b/>
          <w:sz w:val="32"/>
        </w:rPr>
        <w:t>Brasil</w:t>
      </w:r>
    </w:p>
    <w:p w:rsidR="0089480C" w:rsidRPr="007A5981" w:rsidRDefault="0089480C" w:rsidP="009B2FBD">
      <w:pPr>
        <w:ind w:firstLine="0"/>
        <w:rPr>
          <w:rFonts w:ascii="Arial" w:hAnsi="Arial" w:cs="Arial"/>
          <w:sz w:val="22"/>
        </w:rPr>
      </w:pPr>
    </w:p>
    <w:p w:rsidR="009B2FBD" w:rsidRPr="007A5981" w:rsidRDefault="00872429" w:rsidP="009B2FBD">
      <w:pPr>
        <w:ind w:firstLine="0"/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b/>
          <w:sz w:val="32"/>
          <w:lang w:val="en-US"/>
        </w:rPr>
        <w:t>Registration of a</w:t>
      </w:r>
      <w:r w:rsidR="009B2FBD" w:rsidRPr="00872429">
        <w:rPr>
          <w:rFonts w:ascii="Arial" w:hAnsi="Arial" w:cs="Arial"/>
          <w:b/>
          <w:sz w:val="32"/>
          <w:lang w:val="en-US"/>
        </w:rPr>
        <w:t xml:space="preserve">ctive </w:t>
      </w:r>
      <w:r>
        <w:rPr>
          <w:rFonts w:ascii="Arial" w:hAnsi="Arial" w:cs="Arial"/>
          <w:b/>
          <w:sz w:val="32"/>
          <w:lang w:val="en-US"/>
        </w:rPr>
        <w:t>p</w:t>
      </w:r>
      <w:r w:rsidR="009B2FBD" w:rsidRPr="00872429">
        <w:rPr>
          <w:rFonts w:ascii="Arial" w:hAnsi="Arial" w:cs="Arial"/>
          <w:b/>
          <w:sz w:val="32"/>
          <w:lang w:val="en-US"/>
        </w:rPr>
        <w:t xml:space="preserve">harmaceutical Ingredients: </w:t>
      </w:r>
      <w:r w:rsidR="00215F18" w:rsidRPr="00872429">
        <w:rPr>
          <w:rFonts w:ascii="Arial" w:hAnsi="Arial" w:cs="Arial"/>
          <w:b/>
          <w:sz w:val="32"/>
          <w:lang w:val="en-US"/>
        </w:rPr>
        <w:t xml:space="preserve">impacts and repercussions on </w:t>
      </w:r>
      <w:r w:rsidR="000A0C10" w:rsidRPr="00872429">
        <w:rPr>
          <w:rFonts w:ascii="Arial" w:hAnsi="Arial" w:cs="Arial"/>
          <w:b/>
          <w:sz w:val="32"/>
          <w:lang w:val="en-US"/>
        </w:rPr>
        <w:t>the</w:t>
      </w:r>
      <w:r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r w:rsidR="00162332">
        <w:rPr>
          <w:rFonts w:ascii="Arial" w:hAnsi="Arial" w:cs="Arial"/>
          <w:b/>
          <w:sz w:val="32"/>
          <w:lang w:val="en-US"/>
        </w:rPr>
        <w:t>pharmo</w:t>
      </w:r>
      <w:r w:rsidR="00215F18" w:rsidRPr="00872429">
        <w:rPr>
          <w:rFonts w:ascii="Arial" w:hAnsi="Arial" w:cs="Arial"/>
          <w:b/>
          <w:sz w:val="32"/>
          <w:lang w:val="en-US"/>
        </w:rPr>
        <w:t>chemical</w:t>
      </w:r>
      <w:proofErr w:type="spellEnd"/>
      <w:r w:rsidR="00215F18" w:rsidRPr="00872429">
        <w:rPr>
          <w:rFonts w:ascii="Arial" w:hAnsi="Arial" w:cs="Arial"/>
          <w:b/>
          <w:sz w:val="32"/>
          <w:lang w:val="en-US"/>
        </w:rPr>
        <w:t xml:space="preserve"> and pharmaceutical industries installed in Brazil</w:t>
      </w:r>
    </w:p>
    <w:p w:rsidR="00215F18" w:rsidRPr="007A5981" w:rsidRDefault="00215F18" w:rsidP="00DA4A57">
      <w:pPr>
        <w:ind w:firstLine="0"/>
        <w:rPr>
          <w:rFonts w:ascii="Arial" w:hAnsi="Arial" w:cs="Arial"/>
          <w:sz w:val="22"/>
          <w:lang w:val="en-US"/>
        </w:rPr>
      </w:pPr>
    </w:p>
    <w:p w:rsidR="009B2A10" w:rsidRPr="00872429" w:rsidRDefault="009B2A10" w:rsidP="00DA4A57">
      <w:pPr>
        <w:ind w:firstLine="0"/>
        <w:rPr>
          <w:rFonts w:ascii="Arial" w:hAnsi="Arial" w:cs="Arial"/>
          <w:sz w:val="22"/>
          <w:lang w:val="en-US"/>
        </w:rPr>
      </w:pPr>
    </w:p>
    <w:p w:rsidR="005A183C" w:rsidRPr="00872429" w:rsidRDefault="005A183C" w:rsidP="00DA4A57">
      <w:pPr>
        <w:ind w:firstLine="0"/>
        <w:rPr>
          <w:rFonts w:ascii="Arial" w:hAnsi="Arial" w:cs="Arial"/>
          <w:sz w:val="22"/>
          <w:lang w:val="en-US"/>
        </w:rPr>
      </w:pPr>
    </w:p>
    <w:p w:rsidR="005A183C" w:rsidRPr="00872429" w:rsidRDefault="005A183C" w:rsidP="00DA4A57">
      <w:pPr>
        <w:ind w:firstLine="0"/>
        <w:rPr>
          <w:rFonts w:ascii="Arial" w:hAnsi="Arial" w:cs="Arial"/>
          <w:sz w:val="22"/>
          <w:lang w:val="en-US"/>
        </w:rPr>
      </w:pPr>
    </w:p>
    <w:p w:rsidR="005A183C" w:rsidRPr="00872429" w:rsidRDefault="005A183C" w:rsidP="00DA4A57">
      <w:pPr>
        <w:ind w:firstLine="0"/>
        <w:rPr>
          <w:rFonts w:ascii="Arial" w:hAnsi="Arial" w:cs="Arial"/>
          <w:sz w:val="22"/>
          <w:lang w:val="en-US"/>
        </w:rPr>
      </w:pPr>
    </w:p>
    <w:p w:rsidR="002C5743" w:rsidRDefault="00DA4A57" w:rsidP="00DA4A57">
      <w:pPr>
        <w:ind w:firstLine="0"/>
        <w:rPr>
          <w:rFonts w:ascii="Arial" w:hAnsi="Arial" w:cs="Arial"/>
          <w:i/>
          <w:sz w:val="24"/>
          <w:szCs w:val="24"/>
        </w:rPr>
      </w:pPr>
      <w:r w:rsidRPr="00872429">
        <w:rPr>
          <w:rFonts w:ascii="Arial" w:hAnsi="Arial" w:cs="Arial"/>
          <w:i/>
          <w:sz w:val="24"/>
          <w:szCs w:val="24"/>
        </w:rPr>
        <w:t>Diva Barrio Arrepia</w:t>
      </w:r>
      <w:r w:rsidR="00945CF9" w:rsidRPr="00872429">
        <w:rPr>
          <w:rStyle w:val="Refdenotaderodap"/>
          <w:rFonts w:ascii="Arial" w:hAnsi="Arial" w:cs="Arial"/>
          <w:i/>
          <w:sz w:val="24"/>
          <w:szCs w:val="24"/>
        </w:rPr>
        <w:footnoteReference w:id="1"/>
      </w:r>
      <w:r w:rsidRPr="00872429">
        <w:rPr>
          <w:rFonts w:ascii="Arial" w:hAnsi="Arial" w:cs="Arial"/>
          <w:i/>
          <w:sz w:val="24"/>
          <w:szCs w:val="24"/>
        </w:rPr>
        <w:t xml:space="preserve"> </w:t>
      </w:r>
    </w:p>
    <w:p w:rsidR="00070E34" w:rsidRPr="00872429" w:rsidRDefault="00070E34" w:rsidP="00DA4A57">
      <w:pPr>
        <w:ind w:firstLine="0"/>
        <w:rPr>
          <w:rFonts w:ascii="Arial" w:hAnsi="Arial" w:cs="Arial"/>
          <w:i/>
          <w:sz w:val="24"/>
          <w:szCs w:val="24"/>
        </w:rPr>
      </w:pPr>
      <w:r w:rsidRPr="00872429">
        <w:rPr>
          <w:rFonts w:ascii="Arial" w:hAnsi="Arial" w:cs="Arial"/>
          <w:i/>
          <w:sz w:val="24"/>
          <w:szCs w:val="24"/>
        </w:rPr>
        <w:t>David Tabak</w:t>
      </w:r>
      <w:r w:rsidRPr="00872429">
        <w:rPr>
          <w:rStyle w:val="Refdenotaderodap"/>
          <w:rFonts w:ascii="Arial" w:hAnsi="Arial" w:cs="Arial"/>
          <w:i/>
          <w:sz w:val="24"/>
          <w:szCs w:val="24"/>
        </w:rPr>
        <w:footnoteReference w:id="2"/>
      </w:r>
    </w:p>
    <w:p w:rsidR="00AE4B94" w:rsidRPr="00872429" w:rsidRDefault="00DA4A57" w:rsidP="00DA4A57">
      <w:pPr>
        <w:ind w:firstLine="0"/>
        <w:rPr>
          <w:rFonts w:ascii="Arial" w:hAnsi="Arial" w:cs="Arial"/>
          <w:i/>
          <w:sz w:val="24"/>
          <w:szCs w:val="24"/>
        </w:rPr>
      </w:pPr>
      <w:r w:rsidRPr="00872429">
        <w:rPr>
          <w:rFonts w:ascii="Arial" w:hAnsi="Arial" w:cs="Arial"/>
          <w:i/>
          <w:sz w:val="24"/>
          <w:szCs w:val="24"/>
        </w:rPr>
        <w:t>Jorge Carlos Santos da Costa</w:t>
      </w:r>
      <w:r w:rsidR="00945CF9" w:rsidRPr="00872429">
        <w:rPr>
          <w:rStyle w:val="Refdenotaderodap"/>
          <w:rFonts w:ascii="Arial" w:hAnsi="Arial" w:cs="Arial"/>
          <w:i/>
          <w:sz w:val="24"/>
          <w:szCs w:val="24"/>
        </w:rPr>
        <w:footnoteReference w:id="3"/>
      </w:r>
    </w:p>
    <w:p w:rsidR="00CA3A9C" w:rsidRPr="007A5981" w:rsidRDefault="00CA3A9C" w:rsidP="00AA5FB5">
      <w:pPr>
        <w:ind w:firstLine="0"/>
        <w:rPr>
          <w:rFonts w:ascii="Arial" w:hAnsi="Arial" w:cs="Arial"/>
          <w:b/>
          <w:sz w:val="22"/>
        </w:rPr>
      </w:pPr>
    </w:p>
    <w:p w:rsidR="00A24EF7" w:rsidRPr="007A5981" w:rsidRDefault="00A24EF7" w:rsidP="00AA5FB5">
      <w:pPr>
        <w:ind w:firstLine="0"/>
        <w:rPr>
          <w:rFonts w:ascii="Arial" w:hAnsi="Arial" w:cs="Arial"/>
          <w:b/>
          <w:sz w:val="22"/>
        </w:rPr>
      </w:pPr>
    </w:p>
    <w:p w:rsidR="00E35F8E" w:rsidRDefault="00E35F8E" w:rsidP="00AA5FB5">
      <w:pPr>
        <w:ind w:firstLine="0"/>
        <w:rPr>
          <w:rFonts w:ascii="Arial" w:hAnsi="Arial" w:cs="Arial"/>
          <w:b/>
          <w:sz w:val="22"/>
        </w:rPr>
      </w:pPr>
    </w:p>
    <w:p w:rsidR="002C5743" w:rsidRPr="007A5981" w:rsidRDefault="002C5743" w:rsidP="00AA5FB5">
      <w:pPr>
        <w:ind w:firstLine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Contribuição autoral:</w:t>
      </w:r>
    </w:p>
    <w:p w:rsidR="00E35F8E" w:rsidRPr="007A5981" w:rsidRDefault="00E35F8E" w:rsidP="00AA5FB5">
      <w:pPr>
        <w:ind w:firstLine="0"/>
        <w:rPr>
          <w:rFonts w:ascii="Arial" w:hAnsi="Arial" w:cs="Arial"/>
          <w:b/>
          <w:sz w:val="22"/>
        </w:rPr>
      </w:pPr>
    </w:p>
    <w:p w:rsidR="00E35F8E" w:rsidRDefault="002C5743" w:rsidP="00AA5FB5">
      <w:pPr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Concepção:</w:t>
      </w:r>
      <w:r w:rsidRPr="002C5743">
        <w:rPr>
          <w:rFonts w:ascii="Arial" w:hAnsi="Arial" w:cs="Arial"/>
          <w:sz w:val="22"/>
        </w:rPr>
        <w:t xml:space="preserve"> </w:t>
      </w:r>
      <w:r w:rsidR="000200AF">
        <w:rPr>
          <w:rFonts w:ascii="Arial" w:hAnsi="Arial" w:cs="Arial"/>
          <w:sz w:val="22"/>
        </w:rPr>
        <w:t xml:space="preserve">Diva </w:t>
      </w:r>
      <w:proofErr w:type="gramStart"/>
      <w:r w:rsidR="000200AF">
        <w:rPr>
          <w:rFonts w:ascii="Arial" w:hAnsi="Arial" w:cs="Arial"/>
          <w:sz w:val="22"/>
        </w:rPr>
        <w:t>Arrepia,</w:t>
      </w:r>
      <w:proofErr w:type="gramEnd"/>
      <w:r w:rsidR="000200AF">
        <w:rPr>
          <w:rFonts w:ascii="Arial" w:hAnsi="Arial" w:cs="Arial"/>
          <w:sz w:val="22"/>
        </w:rPr>
        <w:t xml:space="preserve"> </w:t>
      </w:r>
      <w:r w:rsidR="000200AF">
        <w:rPr>
          <w:rFonts w:ascii="Arial" w:hAnsi="Arial" w:cs="Arial"/>
          <w:sz w:val="22"/>
        </w:rPr>
        <w:t>David Tabak e Jorge Costa</w:t>
      </w:r>
    </w:p>
    <w:p w:rsidR="002C5743" w:rsidRDefault="002C5743" w:rsidP="00AA5FB5">
      <w:pPr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Planejamento do trabalho:</w:t>
      </w:r>
      <w:r w:rsidRPr="002C5743">
        <w:rPr>
          <w:rFonts w:ascii="Arial" w:hAnsi="Arial" w:cs="Arial"/>
          <w:sz w:val="22"/>
        </w:rPr>
        <w:t xml:space="preserve"> </w:t>
      </w:r>
      <w:r w:rsidR="000200AF">
        <w:rPr>
          <w:rFonts w:ascii="Arial" w:hAnsi="Arial" w:cs="Arial"/>
          <w:sz w:val="22"/>
        </w:rPr>
        <w:t xml:space="preserve">Diva </w:t>
      </w:r>
      <w:proofErr w:type="gramStart"/>
      <w:r w:rsidR="000200AF">
        <w:rPr>
          <w:rFonts w:ascii="Arial" w:hAnsi="Arial" w:cs="Arial"/>
          <w:sz w:val="22"/>
        </w:rPr>
        <w:t>Arrepia,</w:t>
      </w:r>
      <w:proofErr w:type="gramEnd"/>
      <w:r w:rsidR="000200AF">
        <w:rPr>
          <w:rFonts w:ascii="Arial" w:hAnsi="Arial" w:cs="Arial"/>
          <w:sz w:val="22"/>
        </w:rPr>
        <w:t xml:space="preserve"> David Tabak e Jorge Costa</w:t>
      </w:r>
    </w:p>
    <w:p w:rsidR="002C5743" w:rsidRDefault="002C5743" w:rsidP="00AA5FB5">
      <w:pPr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Desenho do estudo: </w:t>
      </w:r>
      <w:r w:rsidR="000200AF">
        <w:rPr>
          <w:rFonts w:ascii="Arial" w:hAnsi="Arial" w:cs="Arial"/>
          <w:sz w:val="22"/>
        </w:rPr>
        <w:t xml:space="preserve">Diva </w:t>
      </w:r>
      <w:proofErr w:type="gramStart"/>
      <w:r w:rsidR="000200AF">
        <w:rPr>
          <w:rFonts w:ascii="Arial" w:hAnsi="Arial" w:cs="Arial"/>
          <w:sz w:val="22"/>
        </w:rPr>
        <w:t>Arrepia,</w:t>
      </w:r>
      <w:proofErr w:type="gramEnd"/>
      <w:r w:rsidR="000200AF">
        <w:rPr>
          <w:rFonts w:ascii="Arial" w:hAnsi="Arial" w:cs="Arial"/>
          <w:sz w:val="22"/>
        </w:rPr>
        <w:t xml:space="preserve"> David Tabak e Jorge Costa</w:t>
      </w:r>
    </w:p>
    <w:p w:rsidR="002C5743" w:rsidRDefault="002C5743" w:rsidP="00AA5FB5">
      <w:pPr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Análise e interpretação das evidências:</w:t>
      </w:r>
      <w:r w:rsidRPr="002C5743">
        <w:rPr>
          <w:rFonts w:ascii="Arial" w:hAnsi="Arial" w:cs="Arial"/>
          <w:sz w:val="22"/>
        </w:rPr>
        <w:t xml:space="preserve"> </w:t>
      </w:r>
      <w:r w:rsidR="000200AF">
        <w:rPr>
          <w:rFonts w:ascii="Arial" w:hAnsi="Arial" w:cs="Arial"/>
          <w:sz w:val="22"/>
        </w:rPr>
        <w:t xml:space="preserve">Diva </w:t>
      </w:r>
      <w:proofErr w:type="gramStart"/>
      <w:r w:rsidR="000200AF">
        <w:rPr>
          <w:rFonts w:ascii="Arial" w:hAnsi="Arial" w:cs="Arial"/>
          <w:sz w:val="22"/>
        </w:rPr>
        <w:t>Arrepia,</w:t>
      </w:r>
      <w:proofErr w:type="gramEnd"/>
      <w:r w:rsidR="000200AF">
        <w:rPr>
          <w:rFonts w:ascii="Arial" w:hAnsi="Arial" w:cs="Arial"/>
          <w:sz w:val="22"/>
        </w:rPr>
        <w:t xml:space="preserve"> David Tabak e Jorge Costa</w:t>
      </w:r>
    </w:p>
    <w:p w:rsidR="002C5743" w:rsidRDefault="002C5743" w:rsidP="00AA5FB5">
      <w:pPr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Redação:</w:t>
      </w:r>
      <w:r w:rsidRPr="002C5743">
        <w:rPr>
          <w:rFonts w:ascii="Arial" w:hAnsi="Arial" w:cs="Arial"/>
          <w:sz w:val="22"/>
        </w:rPr>
        <w:t xml:space="preserve"> </w:t>
      </w:r>
      <w:r w:rsidR="000200AF">
        <w:rPr>
          <w:rFonts w:ascii="Arial" w:hAnsi="Arial" w:cs="Arial"/>
          <w:sz w:val="22"/>
        </w:rPr>
        <w:t>Diva Arrepia</w:t>
      </w:r>
      <w:bookmarkStart w:id="0" w:name="_GoBack"/>
      <w:bookmarkEnd w:id="0"/>
    </w:p>
    <w:p w:rsidR="002C5743" w:rsidRDefault="002C5743" w:rsidP="00AA5FB5">
      <w:pPr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Revisão das versões </w:t>
      </w:r>
      <w:r w:rsidR="00070E34">
        <w:rPr>
          <w:rFonts w:ascii="Arial" w:hAnsi="Arial" w:cs="Arial"/>
          <w:sz w:val="22"/>
        </w:rPr>
        <w:t>preliminares e definitiva: David</w:t>
      </w:r>
      <w:r>
        <w:rPr>
          <w:rFonts w:ascii="Arial" w:hAnsi="Arial" w:cs="Arial"/>
          <w:sz w:val="22"/>
        </w:rPr>
        <w:t xml:space="preserve"> Tabak e Jorge Costa</w:t>
      </w:r>
    </w:p>
    <w:p w:rsidR="002C5743" w:rsidRPr="002C5743" w:rsidRDefault="002C5743" w:rsidP="00AA5FB5">
      <w:pPr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Aprovação da versão final: </w:t>
      </w:r>
      <w:r w:rsidR="00070E34">
        <w:rPr>
          <w:rFonts w:ascii="Arial" w:hAnsi="Arial" w:cs="Arial"/>
          <w:sz w:val="22"/>
        </w:rPr>
        <w:t>David</w:t>
      </w:r>
      <w:r w:rsidR="00354DE6">
        <w:rPr>
          <w:rFonts w:ascii="Arial" w:hAnsi="Arial" w:cs="Arial"/>
          <w:sz w:val="22"/>
        </w:rPr>
        <w:t xml:space="preserve"> Tabak e </w:t>
      </w:r>
      <w:r>
        <w:rPr>
          <w:rFonts w:ascii="Arial" w:hAnsi="Arial" w:cs="Arial"/>
          <w:sz w:val="22"/>
        </w:rPr>
        <w:t>Jorge Costa</w:t>
      </w:r>
    </w:p>
    <w:p w:rsidR="009B2A10" w:rsidRDefault="009B2A10" w:rsidP="00DA2957">
      <w:pPr>
        <w:ind w:firstLine="0"/>
        <w:rPr>
          <w:rFonts w:ascii="Arial" w:hAnsi="Arial" w:cs="Arial"/>
          <w:b/>
          <w:sz w:val="22"/>
        </w:rPr>
      </w:pPr>
    </w:p>
    <w:p w:rsidR="009B2A10" w:rsidRDefault="009B2A10" w:rsidP="00DA2957">
      <w:pPr>
        <w:ind w:firstLine="0"/>
        <w:rPr>
          <w:rFonts w:ascii="Arial" w:hAnsi="Arial" w:cs="Arial"/>
          <w:b/>
          <w:sz w:val="22"/>
        </w:rPr>
      </w:pPr>
    </w:p>
    <w:p w:rsidR="00945CF9" w:rsidRPr="00AE4B94" w:rsidRDefault="00945CF9" w:rsidP="00945CF9">
      <w:pPr>
        <w:pStyle w:val="Textodenotaderodap"/>
        <w:rPr>
          <w:rFonts w:ascii="Arial" w:hAnsi="Arial" w:cs="Arial"/>
          <w:sz w:val="18"/>
          <w:szCs w:val="18"/>
        </w:rPr>
      </w:pPr>
    </w:p>
    <w:p w:rsidR="009B2A10" w:rsidRDefault="009B2A10" w:rsidP="00DA2957">
      <w:pPr>
        <w:ind w:firstLine="0"/>
        <w:rPr>
          <w:rFonts w:ascii="Arial" w:hAnsi="Arial" w:cs="Arial"/>
          <w:b/>
          <w:sz w:val="22"/>
        </w:rPr>
      </w:pPr>
    </w:p>
    <w:p w:rsidR="0089480C" w:rsidRPr="00872429" w:rsidRDefault="0089480C" w:rsidP="00DA2957">
      <w:pPr>
        <w:ind w:firstLine="0"/>
        <w:rPr>
          <w:rFonts w:ascii="Arial" w:hAnsi="Arial" w:cs="Arial"/>
          <w:b/>
          <w:sz w:val="24"/>
          <w:szCs w:val="24"/>
        </w:rPr>
      </w:pPr>
      <w:r w:rsidRPr="00872429">
        <w:rPr>
          <w:rFonts w:ascii="Arial" w:hAnsi="Arial" w:cs="Arial"/>
          <w:b/>
          <w:sz w:val="24"/>
          <w:szCs w:val="24"/>
        </w:rPr>
        <w:lastRenderedPageBreak/>
        <w:t>R</w:t>
      </w:r>
      <w:r w:rsidR="00354DE6" w:rsidRPr="00872429">
        <w:rPr>
          <w:rFonts w:ascii="Arial" w:hAnsi="Arial" w:cs="Arial"/>
          <w:b/>
          <w:sz w:val="24"/>
          <w:szCs w:val="24"/>
        </w:rPr>
        <w:t>esumo</w:t>
      </w:r>
    </w:p>
    <w:p w:rsidR="000A7311" w:rsidRPr="00872429" w:rsidRDefault="005A183C" w:rsidP="00DA2957">
      <w:pPr>
        <w:ind w:firstLine="0"/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>O presente estudo teve por objetivo investigar e avaliar a potencial contribuição que a obrigatoriedade do registro de Insumos Farmacêuticos Ativos (</w:t>
      </w:r>
      <w:proofErr w:type="spellStart"/>
      <w:r w:rsidRPr="00872429">
        <w:rPr>
          <w:rFonts w:ascii="Arial" w:hAnsi="Arial" w:cs="Arial"/>
          <w:sz w:val="24"/>
          <w:szCs w:val="24"/>
        </w:rPr>
        <w:t>IFAs</w:t>
      </w:r>
      <w:proofErr w:type="spellEnd"/>
      <w:r w:rsidRPr="00872429">
        <w:rPr>
          <w:rFonts w:ascii="Arial" w:hAnsi="Arial" w:cs="Arial"/>
          <w:sz w:val="24"/>
          <w:szCs w:val="24"/>
        </w:rPr>
        <w:t xml:space="preserve">), </w:t>
      </w:r>
      <w:r w:rsidR="001C32E8">
        <w:rPr>
          <w:rFonts w:ascii="Arial" w:hAnsi="Arial" w:cs="Arial"/>
          <w:sz w:val="24"/>
          <w:szCs w:val="24"/>
        </w:rPr>
        <w:t>por meio d</w:t>
      </w:r>
      <w:r w:rsidRPr="00872429">
        <w:rPr>
          <w:rFonts w:ascii="Arial" w:hAnsi="Arial" w:cs="Arial"/>
          <w:sz w:val="24"/>
          <w:szCs w:val="24"/>
        </w:rPr>
        <w:t>a Resolução da Diretoria Colegiada (RDC) da Agência Nacional de Vigilância Sanitária (ANVISA) n° 57/2009,</w:t>
      </w:r>
      <w:r w:rsidRPr="008724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872429">
        <w:rPr>
          <w:rFonts w:ascii="Arial" w:hAnsi="Arial" w:cs="Arial"/>
          <w:sz w:val="24"/>
          <w:szCs w:val="24"/>
        </w:rPr>
        <w:t xml:space="preserve">teve no estabelecimento da isonomia regulatória entre o fabricante de IFA no Brasil e o fabricante internacional e que efetividade essa isonomia teve no restabelecimento da produção local de </w:t>
      </w:r>
      <w:proofErr w:type="spellStart"/>
      <w:r w:rsidRPr="00872429">
        <w:rPr>
          <w:rFonts w:ascii="Arial" w:hAnsi="Arial" w:cs="Arial"/>
          <w:sz w:val="24"/>
          <w:szCs w:val="24"/>
        </w:rPr>
        <w:t>IFAs</w:t>
      </w:r>
      <w:proofErr w:type="spellEnd"/>
      <w:r w:rsidR="001C32E8">
        <w:rPr>
          <w:rFonts w:ascii="Arial" w:hAnsi="Arial" w:cs="Arial"/>
          <w:sz w:val="24"/>
          <w:szCs w:val="24"/>
        </w:rPr>
        <w:t>,</w:t>
      </w:r>
      <w:r w:rsidRPr="00872429">
        <w:rPr>
          <w:rFonts w:ascii="Arial" w:hAnsi="Arial" w:cs="Arial"/>
          <w:sz w:val="24"/>
          <w:szCs w:val="24"/>
        </w:rPr>
        <w:t xml:space="preserve"> quando aliada à </w:t>
      </w:r>
      <w:proofErr w:type="gramStart"/>
      <w:r w:rsidRPr="00872429">
        <w:rPr>
          <w:rFonts w:ascii="Arial" w:hAnsi="Arial" w:cs="Arial"/>
          <w:sz w:val="24"/>
          <w:szCs w:val="24"/>
        </w:rPr>
        <w:t>implementação</w:t>
      </w:r>
      <w:proofErr w:type="gramEnd"/>
      <w:r w:rsidRPr="00872429">
        <w:rPr>
          <w:rFonts w:ascii="Arial" w:hAnsi="Arial" w:cs="Arial"/>
          <w:sz w:val="24"/>
          <w:szCs w:val="24"/>
        </w:rPr>
        <w:t xml:space="preserve"> de outras ações demandadas pelo setor farmoquímico brasileiro. A pesquisa levou à identificação dos registros dos 20 </w:t>
      </w:r>
      <w:proofErr w:type="spellStart"/>
      <w:r w:rsidRPr="00872429">
        <w:rPr>
          <w:rFonts w:ascii="Arial" w:hAnsi="Arial" w:cs="Arial"/>
          <w:sz w:val="24"/>
          <w:szCs w:val="24"/>
        </w:rPr>
        <w:t>IFAs</w:t>
      </w:r>
      <w:proofErr w:type="spellEnd"/>
      <w:r w:rsidRPr="00872429">
        <w:rPr>
          <w:rFonts w:ascii="Arial" w:hAnsi="Arial" w:cs="Arial"/>
          <w:sz w:val="24"/>
          <w:szCs w:val="24"/>
        </w:rPr>
        <w:t xml:space="preserve"> definidos como prioritários para o registro concedidos pela ANVISA no período 2010-2012. Os resultados demonstraram que a RDC n° 57/09 se mostrou efetiva na obtenção da isonomia regulatória. Porém, o tempo de análise não foi suficientemente longo para assegurar que a mesma, conjugada com outras ações do governo para o incentivo à produção local de </w:t>
      </w:r>
      <w:proofErr w:type="spellStart"/>
      <w:r w:rsidRPr="00872429">
        <w:rPr>
          <w:rFonts w:ascii="Arial" w:hAnsi="Arial" w:cs="Arial"/>
          <w:sz w:val="24"/>
          <w:szCs w:val="24"/>
        </w:rPr>
        <w:t>IFAs</w:t>
      </w:r>
      <w:proofErr w:type="spellEnd"/>
      <w:r w:rsidRPr="00872429">
        <w:rPr>
          <w:rFonts w:ascii="Arial" w:hAnsi="Arial" w:cs="Arial"/>
          <w:sz w:val="24"/>
          <w:szCs w:val="24"/>
        </w:rPr>
        <w:t>, tenha sido capaz de promover o aumento da fabricação, via substituição das importações desses produtos, apesar de haver sinalizações de que isso</w:t>
      </w:r>
      <w:r w:rsidR="00786A4B">
        <w:rPr>
          <w:rFonts w:ascii="Arial" w:hAnsi="Arial" w:cs="Arial"/>
          <w:sz w:val="24"/>
          <w:szCs w:val="24"/>
        </w:rPr>
        <w:t xml:space="preserve"> provavelmente</w:t>
      </w:r>
      <w:r w:rsidRPr="00872429">
        <w:rPr>
          <w:rFonts w:ascii="Arial" w:hAnsi="Arial" w:cs="Arial"/>
          <w:sz w:val="24"/>
          <w:szCs w:val="24"/>
        </w:rPr>
        <w:t xml:space="preserve"> acontecerá.</w:t>
      </w:r>
    </w:p>
    <w:p w:rsidR="0097356B" w:rsidRPr="00872429" w:rsidRDefault="0097356B" w:rsidP="00ED7392">
      <w:pPr>
        <w:rPr>
          <w:rFonts w:ascii="Arial" w:hAnsi="Arial" w:cs="Arial"/>
          <w:sz w:val="24"/>
          <w:szCs w:val="24"/>
        </w:rPr>
      </w:pPr>
    </w:p>
    <w:p w:rsidR="000A7311" w:rsidRPr="00872429" w:rsidRDefault="00037EB7" w:rsidP="00DA2957">
      <w:pPr>
        <w:ind w:firstLine="0"/>
        <w:rPr>
          <w:rFonts w:ascii="Arial" w:hAnsi="Arial" w:cs="Arial"/>
          <w:b/>
          <w:sz w:val="24"/>
          <w:szCs w:val="24"/>
          <w:lang w:val="en-US"/>
        </w:rPr>
      </w:pPr>
      <w:r w:rsidRPr="00872429">
        <w:rPr>
          <w:rFonts w:ascii="Arial" w:hAnsi="Arial" w:cs="Arial"/>
          <w:b/>
          <w:sz w:val="24"/>
          <w:szCs w:val="24"/>
          <w:lang w:val="en-US"/>
        </w:rPr>
        <w:t>A</w:t>
      </w:r>
      <w:r w:rsidR="00354DE6" w:rsidRPr="00872429">
        <w:rPr>
          <w:rFonts w:ascii="Arial" w:hAnsi="Arial" w:cs="Arial"/>
          <w:b/>
          <w:sz w:val="24"/>
          <w:szCs w:val="24"/>
          <w:lang w:val="en-US"/>
        </w:rPr>
        <w:t>bstract</w:t>
      </w:r>
    </w:p>
    <w:p w:rsidR="009319CB" w:rsidRPr="00872429" w:rsidRDefault="00B95267" w:rsidP="00B946F1">
      <w:pPr>
        <w:ind w:firstLine="0"/>
        <w:rPr>
          <w:rFonts w:ascii="Arial" w:hAnsi="Arial" w:cs="Arial"/>
          <w:sz w:val="24"/>
          <w:szCs w:val="24"/>
          <w:highlight w:val="yellow"/>
          <w:lang w:val="en-US"/>
        </w:rPr>
      </w:pPr>
      <w:r w:rsidRPr="00872429">
        <w:rPr>
          <w:rFonts w:ascii="Arial" w:eastAsia="Times New Roman" w:hAnsi="Arial" w:cs="Arial"/>
          <w:sz w:val="24"/>
          <w:szCs w:val="24"/>
          <w:lang w:val="en-US" w:eastAsia="pt-BR"/>
        </w:rPr>
        <w:t xml:space="preserve">The aim of the study was to investigate and evaluate the potential contribution that the obligatory registration of Active Pharmaceutical Ingredients (APIs), as required by the </w:t>
      </w:r>
      <w:proofErr w:type="spellStart"/>
      <w:r w:rsidRPr="00872429">
        <w:rPr>
          <w:rFonts w:ascii="Arial" w:eastAsia="Times New Roman" w:hAnsi="Arial" w:cs="Arial"/>
          <w:sz w:val="24"/>
          <w:szCs w:val="24"/>
          <w:lang w:val="en-US" w:eastAsia="pt-BR"/>
        </w:rPr>
        <w:t>Resolução</w:t>
      </w:r>
      <w:proofErr w:type="spellEnd"/>
      <w:r w:rsidRPr="00872429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da </w:t>
      </w:r>
      <w:proofErr w:type="spellStart"/>
      <w:r w:rsidRPr="00872429">
        <w:rPr>
          <w:rFonts w:ascii="Arial" w:eastAsia="Times New Roman" w:hAnsi="Arial" w:cs="Arial"/>
          <w:sz w:val="24"/>
          <w:szCs w:val="24"/>
          <w:lang w:val="en-US" w:eastAsia="pt-BR"/>
        </w:rPr>
        <w:t>Diretoria</w:t>
      </w:r>
      <w:proofErr w:type="spellEnd"/>
      <w:r w:rsidR="00EE5841" w:rsidRPr="00872429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872429">
        <w:rPr>
          <w:rFonts w:ascii="Arial" w:eastAsia="Times New Roman" w:hAnsi="Arial" w:cs="Arial"/>
          <w:sz w:val="24"/>
          <w:szCs w:val="24"/>
          <w:lang w:val="en-US" w:eastAsia="pt-BR"/>
        </w:rPr>
        <w:t>Colegiada</w:t>
      </w:r>
      <w:proofErr w:type="spellEnd"/>
      <w:r w:rsidRPr="00872429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(RDC) n. 57/2009, of the Brazilian National Agency for the Sanitary Surveillance (ANVISA), had on the establishment of regulatory isonomy between the API producer in Brazil and the international producer, as well as the </w:t>
      </w:r>
      <w:r w:rsidR="00EE5841" w:rsidRPr="00872429">
        <w:rPr>
          <w:rFonts w:ascii="Arial" w:eastAsia="Times New Roman" w:hAnsi="Arial" w:cs="Arial"/>
          <w:sz w:val="24"/>
          <w:szCs w:val="24"/>
          <w:lang w:val="en-US" w:eastAsia="pt-BR"/>
        </w:rPr>
        <w:t>effectiveness</w:t>
      </w:r>
      <w:r w:rsidRPr="00872429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this isonomy had in </w:t>
      </w:r>
      <w:r w:rsidR="00786A4B">
        <w:rPr>
          <w:rFonts w:ascii="Arial" w:eastAsia="Times New Roman" w:hAnsi="Arial" w:cs="Arial"/>
          <w:sz w:val="24"/>
          <w:szCs w:val="24"/>
          <w:lang w:val="en-US" w:eastAsia="pt-BR"/>
        </w:rPr>
        <w:t xml:space="preserve">reestablishing </w:t>
      </w:r>
      <w:r w:rsidRPr="00872429">
        <w:rPr>
          <w:rFonts w:ascii="Arial" w:eastAsia="Times New Roman" w:hAnsi="Arial" w:cs="Arial"/>
          <w:sz w:val="24"/>
          <w:szCs w:val="24"/>
          <w:lang w:val="en-US" w:eastAsia="pt-BR"/>
        </w:rPr>
        <w:t xml:space="preserve">local production, when associated with other actions demanded by the Brazilian </w:t>
      </w:r>
      <w:proofErr w:type="spellStart"/>
      <w:r w:rsidRPr="00872429">
        <w:rPr>
          <w:rFonts w:ascii="Arial" w:eastAsia="Times New Roman" w:hAnsi="Arial" w:cs="Arial"/>
          <w:sz w:val="24"/>
          <w:szCs w:val="24"/>
          <w:lang w:val="en-US" w:eastAsia="pt-BR"/>
        </w:rPr>
        <w:t>pharmochemical</w:t>
      </w:r>
      <w:proofErr w:type="spellEnd"/>
      <w:r w:rsidRPr="00872429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sector. </w:t>
      </w:r>
      <w:r w:rsidR="005A183C" w:rsidRPr="00872429">
        <w:rPr>
          <w:rFonts w:ascii="Arial" w:eastAsia="Times New Roman" w:hAnsi="Arial" w:cs="Arial"/>
          <w:sz w:val="24"/>
          <w:szCs w:val="24"/>
          <w:lang w:val="en-US" w:eastAsia="pt-BR"/>
        </w:rPr>
        <w:t>The investigation led to the identification of the registration of the 20 APIs (defined as priorities for registration) by ANVISA in the period 2010-2012.</w:t>
      </w:r>
      <w:r w:rsidRPr="00872429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The results have demonstrated that the </w:t>
      </w:r>
      <w:r w:rsidR="005906B5" w:rsidRPr="00872429">
        <w:rPr>
          <w:rFonts w:ascii="Arial" w:eastAsia="Times New Roman" w:hAnsi="Arial" w:cs="Arial"/>
          <w:sz w:val="24"/>
          <w:szCs w:val="24"/>
          <w:lang w:val="en-US" w:eastAsia="pt-BR"/>
        </w:rPr>
        <w:t>regulation was effective in lea</w:t>
      </w:r>
      <w:r w:rsidRPr="00872429">
        <w:rPr>
          <w:rFonts w:ascii="Arial" w:eastAsia="Times New Roman" w:hAnsi="Arial" w:cs="Arial"/>
          <w:sz w:val="24"/>
          <w:szCs w:val="24"/>
          <w:lang w:val="en-US" w:eastAsia="pt-BR"/>
        </w:rPr>
        <w:t>ding to the regulatory isonomy. However,</w:t>
      </w:r>
      <w:r w:rsidR="00EE5841" w:rsidRPr="00872429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r w:rsidRPr="00872429">
        <w:rPr>
          <w:rFonts w:ascii="Arial" w:eastAsia="Times New Roman" w:hAnsi="Arial" w:cs="Arial"/>
          <w:sz w:val="24"/>
          <w:szCs w:val="24"/>
          <w:lang w:val="en-US" w:eastAsia="pt-BR"/>
        </w:rPr>
        <w:t xml:space="preserve">the period under analysis was not sufficiently long to ensure that the RDC, combined with other governmental actions, may have promoted the increase in production, although there </w:t>
      </w:r>
      <w:proofErr w:type="gramStart"/>
      <w:r w:rsidRPr="00872429">
        <w:rPr>
          <w:rFonts w:ascii="Arial" w:eastAsia="Times New Roman" w:hAnsi="Arial" w:cs="Arial"/>
          <w:sz w:val="24"/>
          <w:szCs w:val="24"/>
          <w:lang w:val="en-US" w:eastAsia="pt-BR"/>
        </w:rPr>
        <w:t>exists</w:t>
      </w:r>
      <w:proofErr w:type="gramEnd"/>
      <w:r w:rsidRPr="00872429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some signs that this will eventually happen.</w:t>
      </w:r>
    </w:p>
    <w:p w:rsidR="002C5743" w:rsidRPr="00872429" w:rsidRDefault="002C5743" w:rsidP="009319CB">
      <w:pPr>
        <w:ind w:firstLine="0"/>
        <w:rPr>
          <w:rFonts w:ascii="Arial" w:hAnsi="Arial" w:cs="Arial"/>
          <w:b/>
          <w:sz w:val="24"/>
          <w:szCs w:val="24"/>
          <w:highlight w:val="yellow"/>
          <w:lang w:val="en-US"/>
        </w:rPr>
      </w:pPr>
    </w:p>
    <w:p w:rsidR="002C5743" w:rsidRPr="00872429" w:rsidRDefault="002C5743" w:rsidP="002C5743">
      <w:pPr>
        <w:ind w:firstLine="0"/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b/>
          <w:sz w:val="24"/>
          <w:szCs w:val="24"/>
        </w:rPr>
        <w:t>P</w:t>
      </w:r>
      <w:r w:rsidR="00354DE6" w:rsidRPr="00872429">
        <w:rPr>
          <w:rFonts w:ascii="Arial" w:hAnsi="Arial" w:cs="Arial"/>
          <w:b/>
          <w:sz w:val="24"/>
          <w:szCs w:val="24"/>
        </w:rPr>
        <w:t>alavras chave</w:t>
      </w:r>
      <w:r w:rsidRPr="00872429">
        <w:rPr>
          <w:rFonts w:ascii="Arial" w:hAnsi="Arial" w:cs="Arial"/>
          <w:b/>
          <w:sz w:val="24"/>
          <w:szCs w:val="24"/>
        </w:rPr>
        <w:t xml:space="preserve">: </w:t>
      </w:r>
      <w:r w:rsidR="00B946F1">
        <w:rPr>
          <w:rFonts w:ascii="Arial" w:hAnsi="Arial" w:cs="Arial"/>
          <w:sz w:val="24"/>
          <w:szCs w:val="24"/>
        </w:rPr>
        <w:t>i</w:t>
      </w:r>
      <w:r w:rsidRPr="00872429">
        <w:rPr>
          <w:rFonts w:ascii="Arial" w:hAnsi="Arial" w:cs="Arial"/>
          <w:sz w:val="24"/>
          <w:szCs w:val="24"/>
        </w:rPr>
        <w:t>nsumo;</w:t>
      </w:r>
      <w:r w:rsidR="00B946F1">
        <w:rPr>
          <w:rFonts w:ascii="Arial" w:hAnsi="Arial" w:cs="Arial"/>
          <w:sz w:val="24"/>
          <w:szCs w:val="24"/>
        </w:rPr>
        <w:t xml:space="preserve"> </w:t>
      </w:r>
      <w:r w:rsidRPr="00872429">
        <w:rPr>
          <w:rFonts w:ascii="Arial" w:hAnsi="Arial" w:cs="Arial"/>
          <w:sz w:val="24"/>
          <w:szCs w:val="24"/>
        </w:rPr>
        <w:t>isonomia; fabricação; importação; registro.</w:t>
      </w:r>
    </w:p>
    <w:p w:rsidR="002C5743" w:rsidRPr="00872429" w:rsidRDefault="002C5743" w:rsidP="002C5743">
      <w:pPr>
        <w:ind w:firstLine="0"/>
        <w:rPr>
          <w:rFonts w:ascii="Arial" w:hAnsi="Arial" w:cs="Arial"/>
          <w:b/>
          <w:sz w:val="24"/>
          <w:szCs w:val="24"/>
        </w:rPr>
      </w:pPr>
    </w:p>
    <w:p w:rsidR="002C5743" w:rsidRDefault="002C5743" w:rsidP="002C5743">
      <w:pPr>
        <w:ind w:firstLine="0"/>
        <w:rPr>
          <w:rFonts w:ascii="Arial" w:hAnsi="Arial" w:cs="Arial"/>
          <w:sz w:val="24"/>
          <w:szCs w:val="24"/>
          <w:lang w:val="en-US"/>
        </w:rPr>
      </w:pPr>
      <w:r w:rsidRPr="00872429">
        <w:rPr>
          <w:rFonts w:ascii="Arial" w:hAnsi="Arial" w:cs="Arial"/>
          <w:b/>
          <w:sz w:val="24"/>
          <w:szCs w:val="24"/>
          <w:lang w:val="en-US"/>
        </w:rPr>
        <w:t>K</w:t>
      </w:r>
      <w:r w:rsidR="00354DE6" w:rsidRPr="00872429">
        <w:rPr>
          <w:rFonts w:ascii="Arial" w:hAnsi="Arial" w:cs="Arial"/>
          <w:b/>
          <w:sz w:val="24"/>
          <w:szCs w:val="24"/>
          <w:lang w:val="en-US"/>
        </w:rPr>
        <w:t>eywords</w:t>
      </w:r>
      <w:r w:rsidRPr="00872429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B946F1">
        <w:rPr>
          <w:rFonts w:ascii="Arial" w:eastAsia="Times New Roman" w:hAnsi="Arial" w:cs="Arial"/>
          <w:sz w:val="24"/>
          <w:szCs w:val="24"/>
          <w:lang w:val="en-US" w:eastAsia="pt-BR"/>
        </w:rPr>
        <w:t>a</w:t>
      </w:r>
      <w:r w:rsidRPr="00872429">
        <w:rPr>
          <w:rFonts w:ascii="Arial" w:eastAsia="Times New Roman" w:hAnsi="Arial" w:cs="Arial"/>
          <w:sz w:val="24"/>
          <w:szCs w:val="24"/>
          <w:lang w:val="en-US" w:eastAsia="pt-BR"/>
        </w:rPr>
        <w:t xml:space="preserve">ctive; </w:t>
      </w:r>
      <w:r w:rsidRPr="00872429">
        <w:rPr>
          <w:rFonts w:ascii="Arial" w:hAnsi="Arial" w:cs="Arial"/>
          <w:sz w:val="24"/>
          <w:szCs w:val="24"/>
          <w:lang w:val="en-US"/>
        </w:rPr>
        <w:t>isonomy; production; importation; registration.</w:t>
      </w:r>
    </w:p>
    <w:p w:rsidR="00591071" w:rsidRPr="00872429" w:rsidRDefault="00591071" w:rsidP="002C5743">
      <w:pPr>
        <w:ind w:firstLine="0"/>
        <w:rPr>
          <w:rFonts w:ascii="Arial" w:hAnsi="Arial" w:cs="Arial"/>
          <w:sz w:val="24"/>
          <w:szCs w:val="24"/>
          <w:lang w:val="en-US"/>
        </w:rPr>
      </w:pPr>
    </w:p>
    <w:p w:rsidR="002C5743" w:rsidRPr="00872429" w:rsidRDefault="002C5743" w:rsidP="002C5743">
      <w:pPr>
        <w:ind w:firstLine="0"/>
        <w:rPr>
          <w:rFonts w:ascii="Arial" w:hAnsi="Arial" w:cs="Arial"/>
          <w:sz w:val="24"/>
          <w:szCs w:val="24"/>
          <w:lang w:val="en-US"/>
        </w:rPr>
        <w:sectPr w:rsidR="002C5743" w:rsidRPr="00872429" w:rsidSect="002C5743">
          <w:footerReference w:type="default" r:id="rId9"/>
          <w:footnotePr>
            <w:numFmt w:val="lowerRoman"/>
          </w:footnotePr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21491" w:rsidRPr="007B28CF" w:rsidRDefault="00916D75" w:rsidP="0099420D">
      <w:pPr>
        <w:spacing w:before="120"/>
        <w:ind w:firstLine="0"/>
        <w:rPr>
          <w:rFonts w:ascii="Arial" w:hAnsi="Arial" w:cs="Arial"/>
          <w:b/>
          <w:sz w:val="24"/>
          <w:szCs w:val="24"/>
        </w:rPr>
      </w:pPr>
      <w:r w:rsidRPr="007B28CF"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:rsidR="00B260FE" w:rsidRPr="00872429" w:rsidRDefault="00B260FE" w:rsidP="00ED7392">
      <w:pPr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 xml:space="preserve">O setor farmoquímico tem sua importância destacada na cadeia farmacêutica por tratar-se daquele que fornece a principal matéria-prima para a produção de medicamentos: o fármaco ou princípio ativo, também denominado Insumo Farmacêutico Ativo (IFA) – substância presente na formulação farmacêutica, responsável por seu efeito </w:t>
      </w:r>
      <w:proofErr w:type="gramStart"/>
      <w:r w:rsidRPr="00872429">
        <w:rPr>
          <w:rFonts w:ascii="Arial" w:hAnsi="Arial" w:cs="Arial"/>
          <w:sz w:val="24"/>
          <w:szCs w:val="24"/>
        </w:rPr>
        <w:t>terapêutico</w:t>
      </w:r>
      <w:r w:rsidR="004978EF" w:rsidRPr="00872429">
        <w:rPr>
          <w:rFonts w:ascii="Arial" w:hAnsi="Arial" w:cs="Arial"/>
          <w:sz w:val="24"/>
          <w:szCs w:val="24"/>
        </w:rPr>
        <w:t>(</w:t>
      </w:r>
      <w:proofErr w:type="gramEnd"/>
      <w:r w:rsidR="004978EF" w:rsidRPr="00872429">
        <w:rPr>
          <w:rFonts w:ascii="Arial" w:hAnsi="Arial" w:cs="Arial"/>
          <w:sz w:val="24"/>
          <w:szCs w:val="24"/>
        </w:rPr>
        <w:t>G</w:t>
      </w:r>
      <w:r w:rsidR="003D7F66" w:rsidRPr="00872429">
        <w:rPr>
          <w:rFonts w:ascii="Arial" w:hAnsi="Arial" w:cs="Arial"/>
          <w:sz w:val="24"/>
          <w:szCs w:val="24"/>
        </w:rPr>
        <w:t>onçalves</w:t>
      </w:r>
      <w:r w:rsidR="003D7F66" w:rsidRPr="00872429">
        <w:rPr>
          <w:rFonts w:ascii="Arial" w:hAnsi="Arial" w:cs="Arial"/>
          <w:sz w:val="24"/>
          <w:szCs w:val="24"/>
          <w:vertAlign w:val="superscript"/>
        </w:rPr>
        <w:t>1</w:t>
      </w:r>
      <w:r w:rsidR="004978EF" w:rsidRPr="00872429">
        <w:rPr>
          <w:rFonts w:ascii="Arial" w:hAnsi="Arial" w:cs="Arial"/>
          <w:sz w:val="24"/>
          <w:szCs w:val="24"/>
        </w:rPr>
        <w:t>, 2006)</w:t>
      </w:r>
      <w:r w:rsidRPr="00872429">
        <w:rPr>
          <w:rFonts w:ascii="Arial" w:hAnsi="Arial" w:cs="Arial"/>
          <w:sz w:val="24"/>
          <w:szCs w:val="24"/>
        </w:rPr>
        <w:t>.</w:t>
      </w:r>
    </w:p>
    <w:p w:rsidR="00B260FE" w:rsidRPr="00872429" w:rsidRDefault="00B260FE" w:rsidP="00ED7392">
      <w:pPr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 xml:space="preserve">De setor promissor nos anos 80, a indústria farmoquímica nacional foi praticamente extinta, no início dos anos 90, após a abertura econômica promovida pelo governo à época, </w:t>
      </w:r>
      <w:r w:rsidR="00904AB7" w:rsidRPr="00872429">
        <w:rPr>
          <w:rFonts w:ascii="Arial" w:hAnsi="Arial" w:cs="Arial"/>
          <w:sz w:val="24"/>
          <w:szCs w:val="24"/>
        </w:rPr>
        <w:t>o</w:t>
      </w:r>
      <w:r w:rsidR="00026E71" w:rsidRPr="00872429">
        <w:rPr>
          <w:rFonts w:ascii="Arial" w:hAnsi="Arial" w:cs="Arial"/>
          <w:sz w:val="24"/>
          <w:szCs w:val="24"/>
        </w:rPr>
        <w:t xml:space="preserve"> </w:t>
      </w:r>
      <w:r w:rsidRPr="00872429">
        <w:rPr>
          <w:rFonts w:ascii="Arial" w:hAnsi="Arial" w:cs="Arial"/>
          <w:sz w:val="24"/>
          <w:szCs w:val="24"/>
        </w:rPr>
        <w:t>que facilitou a importação de fármacos ao reduzir enormemente as alíquotas de importação desses produtos. Ainda na décad</w:t>
      </w:r>
      <w:r w:rsidR="00CD7E9D" w:rsidRPr="00872429">
        <w:rPr>
          <w:rFonts w:ascii="Arial" w:hAnsi="Arial" w:cs="Arial"/>
          <w:sz w:val="24"/>
          <w:szCs w:val="24"/>
        </w:rPr>
        <w:t xml:space="preserve">a de 90 foi promulgada a atual Lei de Propriedade </w:t>
      </w:r>
      <w:proofErr w:type="gramStart"/>
      <w:r w:rsidR="00CD7E9D" w:rsidRPr="00872429">
        <w:rPr>
          <w:rFonts w:ascii="Arial" w:hAnsi="Arial" w:cs="Arial"/>
          <w:sz w:val="24"/>
          <w:szCs w:val="24"/>
        </w:rPr>
        <w:t>I</w:t>
      </w:r>
      <w:r w:rsidRPr="00872429">
        <w:rPr>
          <w:rFonts w:ascii="Arial" w:hAnsi="Arial" w:cs="Arial"/>
          <w:sz w:val="24"/>
          <w:szCs w:val="24"/>
        </w:rPr>
        <w:t>ndustrial</w:t>
      </w:r>
      <w:r w:rsidR="00B072D7" w:rsidRPr="00872429">
        <w:rPr>
          <w:rFonts w:ascii="Arial" w:hAnsi="Arial" w:cs="Arial"/>
          <w:sz w:val="24"/>
          <w:szCs w:val="24"/>
        </w:rPr>
        <w:t>(</w:t>
      </w:r>
      <w:proofErr w:type="gramEnd"/>
      <w:r w:rsidR="00B072D7" w:rsidRPr="00872429">
        <w:rPr>
          <w:rFonts w:ascii="Arial" w:hAnsi="Arial" w:cs="Arial"/>
          <w:sz w:val="24"/>
          <w:szCs w:val="24"/>
        </w:rPr>
        <w:t>Brasil</w:t>
      </w:r>
      <w:r w:rsidR="00010BB2" w:rsidRPr="00872429">
        <w:rPr>
          <w:rFonts w:ascii="Arial" w:hAnsi="Arial" w:cs="Arial"/>
          <w:sz w:val="24"/>
          <w:szCs w:val="24"/>
        </w:rPr>
        <w:t>, 1996</w:t>
      </w:r>
      <w:r w:rsidR="00B072D7" w:rsidRPr="00872429">
        <w:rPr>
          <w:rFonts w:ascii="Arial" w:hAnsi="Arial" w:cs="Arial"/>
          <w:sz w:val="24"/>
          <w:szCs w:val="24"/>
        </w:rPr>
        <w:t>)</w:t>
      </w:r>
      <w:r w:rsidR="00026E71" w:rsidRPr="00872429">
        <w:rPr>
          <w:rFonts w:ascii="Arial" w:hAnsi="Arial" w:cs="Arial"/>
          <w:sz w:val="24"/>
          <w:szCs w:val="24"/>
          <w:vertAlign w:val="superscript"/>
        </w:rPr>
        <w:t>2</w:t>
      </w:r>
      <w:r w:rsidR="005B2C10" w:rsidRPr="00872429">
        <w:rPr>
          <w:rFonts w:ascii="Arial" w:hAnsi="Arial" w:cs="Arial"/>
          <w:sz w:val="24"/>
          <w:szCs w:val="24"/>
        </w:rPr>
        <w:t xml:space="preserve"> </w:t>
      </w:r>
      <w:r w:rsidRPr="00872429">
        <w:rPr>
          <w:rFonts w:ascii="Arial" w:hAnsi="Arial" w:cs="Arial"/>
          <w:sz w:val="24"/>
          <w:szCs w:val="24"/>
        </w:rPr>
        <w:t>que passou a conceder patentes para produtos farmacêuticos, fazendo com que a indústria de insumos, baseada na cópia de produtos, perdesse a sua força</w:t>
      </w:r>
      <w:r w:rsidR="005B2C10" w:rsidRPr="00872429">
        <w:rPr>
          <w:rFonts w:ascii="Arial" w:hAnsi="Arial" w:cs="Arial"/>
          <w:sz w:val="24"/>
          <w:szCs w:val="24"/>
        </w:rPr>
        <w:t>(Q</w:t>
      </w:r>
      <w:r w:rsidR="00010BB2" w:rsidRPr="00872429">
        <w:rPr>
          <w:rFonts w:ascii="Arial" w:hAnsi="Arial" w:cs="Arial"/>
          <w:sz w:val="24"/>
          <w:szCs w:val="24"/>
        </w:rPr>
        <w:t>ueiroz</w:t>
      </w:r>
      <w:r w:rsidR="005B2C10" w:rsidRPr="00872429">
        <w:rPr>
          <w:rFonts w:ascii="Arial" w:hAnsi="Arial" w:cs="Arial"/>
          <w:sz w:val="24"/>
          <w:szCs w:val="24"/>
        </w:rPr>
        <w:t>; G</w:t>
      </w:r>
      <w:r w:rsidR="00010BB2" w:rsidRPr="00872429">
        <w:rPr>
          <w:rFonts w:ascii="Arial" w:hAnsi="Arial" w:cs="Arial"/>
          <w:sz w:val="24"/>
          <w:szCs w:val="24"/>
        </w:rPr>
        <w:t>onzáles</w:t>
      </w:r>
      <w:r w:rsidR="005B2C10" w:rsidRPr="00872429">
        <w:rPr>
          <w:rFonts w:ascii="Arial" w:hAnsi="Arial" w:cs="Arial"/>
          <w:sz w:val="24"/>
          <w:szCs w:val="24"/>
        </w:rPr>
        <w:t>, 2001)</w:t>
      </w:r>
      <w:r w:rsidR="00026E71" w:rsidRPr="00872429">
        <w:rPr>
          <w:rFonts w:ascii="Arial" w:hAnsi="Arial" w:cs="Arial"/>
          <w:sz w:val="24"/>
          <w:szCs w:val="24"/>
          <w:vertAlign w:val="superscript"/>
        </w:rPr>
        <w:t>3</w:t>
      </w:r>
      <w:r w:rsidR="000D0C14" w:rsidRPr="00872429">
        <w:rPr>
          <w:rFonts w:ascii="Arial" w:hAnsi="Arial" w:cs="Arial"/>
          <w:sz w:val="24"/>
          <w:szCs w:val="24"/>
          <w:vertAlign w:val="superscript"/>
        </w:rPr>
        <w:t>-4</w:t>
      </w:r>
      <w:r w:rsidRPr="00872429">
        <w:rPr>
          <w:rFonts w:ascii="Arial" w:hAnsi="Arial" w:cs="Arial"/>
          <w:sz w:val="24"/>
          <w:szCs w:val="24"/>
        </w:rPr>
        <w:t xml:space="preserve">. </w:t>
      </w:r>
    </w:p>
    <w:p w:rsidR="00B260FE" w:rsidRPr="00872429" w:rsidRDefault="00B260FE" w:rsidP="00ED7392">
      <w:pPr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 xml:space="preserve">Como consequência dessas mudanças foi observada uma drástica redução da produção de </w:t>
      </w:r>
      <w:proofErr w:type="spellStart"/>
      <w:r w:rsidRPr="00872429">
        <w:rPr>
          <w:rFonts w:ascii="Arial" w:hAnsi="Arial" w:cs="Arial"/>
          <w:sz w:val="24"/>
          <w:szCs w:val="24"/>
        </w:rPr>
        <w:t>IFAs</w:t>
      </w:r>
      <w:proofErr w:type="spellEnd"/>
      <w:r w:rsidR="00904AB7" w:rsidRPr="00872429">
        <w:rPr>
          <w:rFonts w:ascii="Arial" w:hAnsi="Arial" w:cs="Arial"/>
          <w:sz w:val="24"/>
          <w:szCs w:val="24"/>
        </w:rPr>
        <w:t xml:space="preserve"> no Brasil</w:t>
      </w:r>
      <w:r w:rsidRPr="00872429">
        <w:rPr>
          <w:rFonts w:ascii="Arial" w:hAnsi="Arial" w:cs="Arial"/>
          <w:sz w:val="24"/>
          <w:szCs w:val="24"/>
        </w:rPr>
        <w:t>, que passou a ter grande parte de sua demanda suprida pelas importações, além do fechamento de inúmeras unidades produtivas</w:t>
      </w:r>
      <w:r w:rsidR="00026E71" w:rsidRPr="00872429">
        <w:rPr>
          <w:rFonts w:ascii="Arial" w:hAnsi="Arial" w:cs="Arial"/>
          <w:sz w:val="24"/>
          <w:szCs w:val="24"/>
          <w:vertAlign w:val="superscript"/>
        </w:rPr>
        <w:t>4</w:t>
      </w:r>
      <w:r w:rsidR="003554D3" w:rsidRPr="00872429">
        <w:rPr>
          <w:rFonts w:ascii="Arial" w:hAnsi="Arial" w:cs="Arial"/>
          <w:sz w:val="24"/>
          <w:szCs w:val="24"/>
        </w:rPr>
        <w:t>.</w:t>
      </w:r>
    </w:p>
    <w:p w:rsidR="00B260FE" w:rsidRDefault="00B260FE" w:rsidP="00ED7392">
      <w:pPr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>Se a década de 90 foi responsável pelo processo de desindustrialização que hoje se observa nessa área, por outro lado, seguindo a tendência mundial, foi em parte responsável pelo ganho de qualidade da mesma, que passou a ser altamente regulada, contribuindo de forma decisiva para a melhoria da qualidade dos medicamentos que estão no mercado brasileiro.</w:t>
      </w:r>
    </w:p>
    <w:p w:rsidR="00E77E20" w:rsidRPr="00872429" w:rsidRDefault="00E77E20" w:rsidP="00E77E20">
      <w:pPr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 xml:space="preserve">O grande crescimento da indústria farmacêutica nacional, iniciado no fim dos anos 90, não foi acompanhado pela indústria farmoquímica instalada no </w:t>
      </w:r>
      <w:proofErr w:type="gramStart"/>
      <w:r w:rsidRPr="00872429">
        <w:rPr>
          <w:rFonts w:ascii="Arial" w:hAnsi="Arial" w:cs="Arial"/>
          <w:sz w:val="24"/>
          <w:szCs w:val="24"/>
        </w:rPr>
        <w:t>país(</w:t>
      </w:r>
      <w:proofErr w:type="gramEnd"/>
      <w:r w:rsidRPr="00872429">
        <w:rPr>
          <w:rFonts w:ascii="Arial" w:hAnsi="Arial" w:cs="Arial"/>
          <w:sz w:val="24"/>
          <w:szCs w:val="24"/>
        </w:rPr>
        <w:t>Gadelha, 2009)</w:t>
      </w:r>
      <w:r w:rsidR="00162332">
        <w:rPr>
          <w:rFonts w:ascii="Arial" w:hAnsi="Arial" w:cs="Arial"/>
          <w:sz w:val="24"/>
          <w:szCs w:val="24"/>
          <w:vertAlign w:val="superscript"/>
        </w:rPr>
        <w:t>5</w:t>
      </w:r>
      <w:r w:rsidRPr="00872429">
        <w:rPr>
          <w:rFonts w:ascii="Arial" w:hAnsi="Arial" w:cs="Arial"/>
          <w:sz w:val="24"/>
          <w:szCs w:val="24"/>
          <w:vertAlign w:val="superscript"/>
        </w:rPr>
        <w:t>,</w:t>
      </w:r>
      <w:r w:rsidR="00162332">
        <w:rPr>
          <w:rFonts w:ascii="Arial" w:hAnsi="Arial" w:cs="Arial"/>
          <w:sz w:val="24"/>
          <w:szCs w:val="24"/>
          <w:vertAlign w:val="superscript"/>
        </w:rPr>
        <w:t>8</w:t>
      </w:r>
      <w:r w:rsidRPr="00872429">
        <w:rPr>
          <w:rFonts w:ascii="Arial" w:hAnsi="Arial" w:cs="Arial"/>
          <w:sz w:val="24"/>
          <w:szCs w:val="24"/>
        </w:rPr>
        <w:t>. Segundo dados levantados pela ABIFINA</w:t>
      </w:r>
      <w:r w:rsidRPr="00872429">
        <w:rPr>
          <w:rStyle w:val="Refdenotaderodap"/>
          <w:rFonts w:ascii="Arial" w:hAnsi="Arial" w:cs="Arial"/>
          <w:sz w:val="24"/>
          <w:szCs w:val="24"/>
        </w:rPr>
        <w:footnoteReference w:id="4"/>
      </w:r>
      <w:r w:rsidRPr="00872429">
        <w:rPr>
          <w:rFonts w:ascii="Arial" w:hAnsi="Arial" w:cs="Arial"/>
          <w:sz w:val="24"/>
          <w:szCs w:val="24"/>
        </w:rPr>
        <w:t xml:space="preserve">, o Brasil importa atualmente algo na faixa de 90% a 95% dos fármacos utilizados pela indústria de medicamentos, o que o deixa numa dependência muito grande do mercado externo e coloca a indústria farmoquímica – fortemente retraída em número de empresas – numa situação de quase inexistência. </w:t>
      </w:r>
    </w:p>
    <w:p w:rsidR="00E77E20" w:rsidRPr="00872429" w:rsidRDefault="00E77E20" w:rsidP="00E77E20">
      <w:pPr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 xml:space="preserve">Com uma produção estimada em US$ 1,2 bilhão em 2012, a indústria farmoquímica brasileira apresenta um déficit cada vez maior nas suas trocas comerciais com o mercado externo. Em 2012, esse déficit ficou na casa de US$ 1,8 </w:t>
      </w:r>
      <w:proofErr w:type="gramStart"/>
      <w:r w:rsidRPr="00872429">
        <w:rPr>
          <w:rFonts w:ascii="Arial" w:hAnsi="Arial" w:cs="Arial"/>
          <w:sz w:val="24"/>
          <w:szCs w:val="24"/>
        </w:rPr>
        <w:t>bilhão(</w:t>
      </w:r>
      <w:proofErr w:type="gramEnd"/>
      <w:r w:rsidRPr="00872429">
        <w:rPr>
          <w:rFonts w:ascii="Arial" w:eastAsia="Times New Roman" w:hAnsi="Arial" w:cs="Arial"/>
          <w:sz w:val="24"/>
          <w:szCs w:val="24"/>
          <w:lang w:eastAsia="pt-BR"/>
        </w:rPr>
        <w:t>Associação Brasileira da Indústria Farmoquímica e de Insumos Farmacêuticos</w:t>
      </w:r>
      <w:r w:rsidRPr="00872429">
        <w:rPr>
          <w:rFonts w:ascii="Arial" w:hAnsi="Arial" w:cs="Arial"/>
          <w:sz w:val="24"/>
          <w:szCs w:val="24"/>
        </w:rPr>
        <w:t>, 2013)</w:t>
      </w:r>
      <w:r w:rsidR="003C4FB4">
        <w:rPr>
          <w:rFonts w:ascii="Arial" w:hAnsi="Arial" w:cs="Arial"/>
          <w:sz w:val="24"/>
          <w:szCs w:val="24"/>
          <w:vertAlign w:val="superscript"/>
        </w:rPr>
        <w:t>6</w:t>
      </w:r>
      <w:r w:rsidRPr="00872429">
        <w:rPr>
          <w:rFonts w:ascii="Arial" w:hAnsi="Arial" w:cs="Arial"/>
          <w:sz w:val="24"/>
          <w:szCs w:val="24"/>
        </w:rPr>
        <w:t xml:space="preserve">, muito próximo do déficit da </w:t>
      </w:r>
      <w:r w:rsidRPr="00872429">
        <w:rPr>
          <w:rFonts w:ascii="Arial" w:hAnsi="Arial" w:cs="Arial"/>
          <w:sz w:val="24"/>
          <w:szCs w:val="24"/>
        </w:rPr>
        <w:lastRenderedPageBreak/>
        <w:t>indústria de medicamentos, que fechou o mesmo ano com o valor de US$ 2,6 bilhões(Brasil, 2013)</w:t>
      </w:r>
      <w:r w:rsidR="003C4FB4">
        <w:rPr>
          <w:rFonts w:ascii="Arial" w:hAnsi="Arial" w:cs="Arial"/>
          <w:sz w:val="24"/>
          <w:szCs w:val="24"/>
          <w:vertAlign w:val="superscript"/>
        </w:rPr>
        <w:t>7</w:t>
      </w:r>
      <w:r w:rsidRPr="00872429">
        <w:rPr>
          <w:rFonts w:ascii="Arial" w:hAnsi="Arial" w:cs="Arial"/>
          <w:sz w:val="24"/>
          <w:szCs w:val="24"/>
        </w:rPr>
        <w:t>.</w:t>
      </w:r>
    </w:p>
    <w:p w:rsidR="00E77E20" w:rsidRPr="00872429" w:rsidRDefault="00E77E20" w:rsidP="00E77E20">
      <w:pPr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 xml:space="preserve">Esses dois segmentos, fármacos e medicamentos, juntamente com vacinas, hemoderivados e reagentes de diagnóstico, compõem a indústria de base química e biotecnológica do </w:t>
      </w:r>
      <w:r w:rsidR="003C4FB4">
        <w:rPr>
          <w:rFonts w:ascii="Arial" w:hAnsi="Arial" w:cs="Arial"/>
          <w:sz w:val="24"/>
          <w:szCs w:val="24"/>
        </w:rPr>
        <w:t>Complexo Industrial da Saúde (</w:t>
      </w:r>
      <w:r w:rsidRPr="00872429">
        <w:rPr>
          <w:rFonts w:ascii="Arial" w:hAnsi="Arial" w:cs="Arial"/>
          <w:sz w:val="24"/>
          <w:szCs w:val="24"/>
        </w:rPr>
        <w:t>CIS</w:t>
      </w:r>
      <w:r w:rsidR="003C4FB4">
        <w:rPr>
          <w:rFonts w:ascii="Arial" w:hAnsi="Arial" w:cs="Arial"/>
          <w:sz w:val="24"/>
          <w:szCs w:val="24"/>
        </w:rPr>
        <w:t>)</w:t>
      </w:r>
      <w:r w:rsidRPr="00872429">
        <w:rPr>
          <w:rFonts w:ascii="Arial" w:hAnsi="Arial" w:cs="Arial"/>
          <w:sz w:val="24"/>
          <w:szCs w:val="24"/>
        </w:rPr>
        <w:t>, que é tido como uma das áreas mais dinâmicas e críticas para o desenvolvimento do país. Ele envolve atividades de enorme intensidade tecnológica (inovações), apresenta uma base produtiva de bens e serviços significativa, responde por importante parcela do Produto Interno Bruto (PIB) nacional e associa os aspectos econômico e social ao processo de desenvolvimento</w:t>
      </w:r>
      <w:r w:rsidR="003C4FB4">
        <w:rPr>
          <w:rFonts w:ascii="Arial" w:hAnsi="Arial" w:cs="Arial"/>
          <w:sz w:val="24"/>
          <w:szCs w:val="24"/>
          <w:vertAlign w:val="superscript"/>
        </w:rPr>
        <w:t>8</w:t>
      </w:r>
      <w:r w:rsidRPr="00872429">
        <w:rPr>
          <w:rFonts w:ascii="Arial" w:hAnsi="Arial" w:cs="Arial"/>
          <w:sz w:val="24"/>
          <w:szCs w:val="24"/>
        </w:rPr>
        <w:t>. Praticamente 40% do déficit acumulado hoje no CIS (cerca de US$ 10 bilhões em 2012</w:t>
      </w:r>
      <w:proofErr w:type="gramStart"/>
      <w:r w:rsidRPr="00872429">
        <w:rPr>
          <w:rFonts w:ascii="Arial" w:hAnsi="Arial" w:cs="Arial"/>
          <w:sz w:val="24"/>
          <w:szCs w:val="24"/>
        </w:rPr>
        <w:t>)</w:t>
      </w:r>
      <w:proofErr w:type="gramEnd"/>
      <w:r w:rsidRPr="00872429">
        <w:rPr>
          <w:rStyle w:val="Refdenotaderodap"/>
          <w:rFonts w:ascii="Arial" w:hAnsi="Arial" w:cs="Arial"/>
          <w:sz w:val="24"/>
          <w:szCs w:val="24"/>
        </w:rPr>
        <w:footnoteReference w:id="5"/>
      </w:r>
      <w:r w:rsidRPr="00872429">
        <w:rPr>
          <w:rFonts w:ascii="Arial" w:hAnsi="Arial" w:cs="Arial"/>
          <w:sz w:val="24"/>
          <w:szCs w:val="24"/>
        </w:rPr>
        <w:t xml:space="preserve"> são devidos à cadeia farmacêutica (fármacos e medicamentos).</w:t>
      </w:r>
    </w:p>
    <w:p w:rsidR="00E77E20" w:rsidRPr="00872429" w:rsidRDefault="00E77E20" w:rsidP="00E77E20">
      <w:pPr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 xml:space="preserve">O governo federal </w:t>
      </w:r>
      <w:proofErr w:type="gramStart"/>
      <w:r w:rsidRPr="00872429">
        <w:rPr>
          <w:rFonts w:ascii="Arial" w:hAnsi="Arial" w:cs="Arial"/>
          <w:sz w:val="24"/>
          <w:szCs w:val="24"/>
        </w:rPr>
        <w:t>implementou</w:t>
      </w:r>
      <w:proofErr w:type="gramEnd"/>
      <w:r w:rsidRPr="00872429">
        <w:rPr>
          <w:rFonts w:ascii="Arial" w:hAnsi="Arial" w:cs="Arial"/>
          <w:sz w:val="24"/>
          <w:szCs w:val="24"/>
        </w:rPr>
        <w:t xml:space="preserve"> várias ações nos últimos anos com o objetivo de reverter o atual cenário desfavorável do CIS. Para a indústria farmoquímica, dessas ações as que mais parecem efetivas são as Parcerias para o Desenvolvimento Produtivo (PDP) e o uso do poder de compra do </w:t>
      </w:r>
      <w:proofErr w:type="gramStart"/>
      <w:r w:rsidRPr="00872429">
        <w:rPr>
          <w:rFonts w:ascii="Arial" w:hAnsi="Arial" w:cs="Arial"/>
          <w:sz w:val="24"/>
          <w:szCs w:val="24"/>
        </w:rPr>
        <w:t>Estado(</w:t>
      </w:r>
      <w:proofErr w:type="gramEnd"/>
      <w:r w:rsidRPr="00872429">
        <w:rPr>
          <w:rFonts w:ascii="Arial" w:eastAsia="Times New Roman" w:hAnsi="Arial" w:cs="Arial"/>
          <w:sz w:val="24"/>
          <w:szCs w:val="24"/>
          <w:lang w:eastAsia="pt-BR"/>
        </w:rPr>
        <w:t>Associação Brasileira das Indústrias de Química Fina, Biotecnologia e suas Especialidades</w:t>
      </w:r>
      <w:r w:rsidRPr="00872429">
        <w:rPr>
          <w:rFonts w:ascii="Arial" w:hAnsi="Arial" w:cs="Arial"/>
          <w:sz w:val="24"/>
          <w:szCs w:val="24"/>
        </w:rPr>
        <w:t>, 2010)</w:t>
      </w:r>
      <w:r w:rsidR="003C4FB4">
        <w:rPr>
          <w:rFonts w:ascii="Arial" w:hAnsi="Arial" w:cs="Arial"/>
          <w:sz w:val="24"/>
          <w:szCs w:val="24"/>
          <w:vertAlign w:val="superscript"/>
        </w:rPr>
        <w:t>9</w:t>
      </w:r>
      <w:r w:rsidRPr="00872429">
        <w:rPr>
          <w:rFonts w:ascii="Arial" w:hAnsi="Arial" w:cs="Arial"/>
          <w:sz w:val="24"/>
          <w:szCs w:val="24"/>
        </w:rPr>
        <w:t xml:space="preserve">. </w:t>
      </w:r>
    </w:p>
    <w:p w:rsidR="00E77E20" w:rsidRPr="00872429" w:rsidRDefault="00E77E20" w:rsidP="00E77E20">
      <w:pPr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 xml:space="preserve">Considerado como um dos setores fundamentais para a redução do déficit do CIS, o setor farmoquímico precisava de ações do governo que buscassem reduzir suas relações comerciais desfavoráveis e garantissem a qualidade dos </w:t>
      </w:r>
      <w:proofErr w:type="spellStart"/>
      <w:r w:rsidRPr="00872429">
        <w:rPr>
          <w:rFonts w:ascii="Arial" w:hAnsi="Arial" w:cs="Arial"/>
          <w:sz w:val="24"/>
          <w:szCs w:val="24"/>
        </w:rPr>
        <w:t>IFAs</w:t>
      </w:r>
      <w:proofErr w:type="spellEnd"/>
      <w:r w:rsidRPr="00872429">
        <w:rPr>
          <w:rFonts w:ascii="Arial" w:hAnsi="Arial" w:cs="Arial"/>
          <w:sz w:val="24"/>
          <w:szCs w:val="24"/>
        </w:rPr>
        <w:t xml:space="preserve"> utilizados nos medicamentos consumidos no país. </w:t>
      </w:r>
    </w:p>
    <w:p w:rsidR="00E30CBF" w:rsidRPr="00872429" w:rsidRDefault="00E30CBF" w:rsidP="00E30CBF">
      <w:pPr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 xml:space="preserve">Normas abrangentes de segurança, qualidade e rastreabilidade, tanto para a indústria farmoquímica como para a farmacêutica, são imprescindíveis para garantir a segurança, eficácia, qualidade e adequação dos produtos postos à disposição da população. Além disso, colocam a indústria nacional em igualdade de condições com as empresas dos principais mercados mundiais. </w:t>
      </w:r>
      <w:r w:rsidR="00452C9A" w:rsidRPr="00872429">
        <w:rPr>
          <w:rFonts w:ascii="Arial" w:hAnsi="Arial" w:cs="Arial"/>
          <w:sz w:val="24"/>
          <w:szCs w:val="24"/>
        </w:rPr>
        <w:t xml:space="preserve">Uma das formas de se alcançar esse objetivo seria o estabelecimento de exigências regulatórias para os produtos </w:t>
      </w:r>
      <w:proofErr w:type="gramStart"/>
      <w:r w:rsidR="00452C9A" w:rsidRPr="00872429">
        <w:rPr>
          <w:rFonts w:ascii="Arial" w:hAnsi="Arial" w:cs="Arial"/>
          <w:sz w:val="24"/>
          <w:szCs w:val="24"/>
        </w:rPr>
        <w:t>importados</w:t>
      </w:r>
      <w:proofErr w:type="gramEnd"/>
      <w:r w:rsidR="00452C9A" w:rsidRPr="00872429">
        <w:rPr>
          <w:rFonts w:ascii="Arial" w:hAnsi="Arial" w:cs="Arial"/>
          <w:sz w:val="24"/>
          <w:szCs w:val="24"/>
        </w:rPr>
        <w:t xml:space="preserve"> que fossem comparáveis àquelas exigidas às empresas instaladas no Brasil.</w:t>
      </w:r>
      <w:r w:rsidR="00452C9A">
        <w:rPr>
          <w:rFonts w:ascii="Arial" w:hAnsi="Arial" w:cs="Arial"/>
          <w:sz w:val="24"/>
          <w:szCs w:val="24"/>
        </w:rPr>
        <w:t xml:space="preserve"> </w:t>
      </w:r>
      <w:r w:rsidRPr="00872429">
        <w:rPr>
          <w:rFonts w:ascii="Arial" w:hAnsi="Arial" w:cs="Arial"/>
          <w:sz w:val="24"/>
          <w:szCs w:val="24"/>
        </w:rPr>
        <w:t xml:space="preserve">Para buscar essa isonomia regulatória, faz-se necessário, </w:t>
      </w:r>
      <w:r w:rsidR="000E1769">
        <w:rPr>
          <w:rFonts w:ascii="Arial" w:hAnsi="Arial" w:cs="Arial"/>
          <w:sz w:val="24"/>
          <w:szCs w:val="24"/>
        </w:rPr>
        <w:t>portanto</w:t>
      </w:r>
      <w:r w:rsidRPr="00872429">
        <w:rPr>
          <w:rFonts w:ascii="Arial" w:hAnsi="Arial" w:cs="Arial"/>
          <w:sz w:val="24"/>
          <w:szCs w:val="24"/>
        </w:rPr>
        <w:t>, que tais legislações sejam extensivas aos produtos de origem externa e não somente exigidas aos produtos fabricados no Brasil.</w:t>
      </w:r>
    </w:p>
    <w:p w:rsidR="00E30CBF" w:rsidRPr="00872429" w:rsidRDefault="00E30CBF" w:rsidP="00E30CBF">
      <w:pPr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>O governo federal</w:t>
      </w:r>
      <w:r w:rsidR="00EE4053" w:rsidRPr="00872429">
        <w:rPr>
          <w:rFonts w:ascii="Arial" w:hAnsi="Arial" w:cs="Arial"/>
          <w:sz w:val="24"/>
          <w:szCs w:val="24"/>
        </w:rPr>
        <w:t>,</w:t>
      </w:r>
      <w:r w:rsidR="009C25D0" w:rsidRPr="00872429">
        <w:rPr>
          <w:rFonts w:ascii="Arial" w:hAnsi="Arial" w:cs="Arial"/>
          <w:sz w:val="24"/>
          <w:szCs w:val="24"/>
        </w:rPr>
        <w:t xml:space="preserve"> </w:t>
      </w:r>
      <w:r w:rsidR="00EE4053" w:rsidRPr="00872429">
        <w:rPr>
          <w:rFonts w:ascii="Arial" w:hAnsi="Arial" w:cs="Arial"/>
          <w:sz w:val="24"/>
          <w:szCs w:val="24"/>
        </w:rPr>
        <w:t>na</w:t>
      </w:r>
      <w:r w:rsidR="009C25D0" w:rsidRPr="00872429">
        <w:rPr>
          <w:rFonts w:ascii="Arial" w:hAnsi="Arial" w:cs="Arial"/>
          <w:sz w:val="24"/>
          <w:szCs w:val="24"/>
        </w:rPr>
        <w:t xml:space="preserve"> </w:t>
      </w:r>
      <w:r w:rsidR="00D06E71" w:rsidRPr="00872429">
        <w:rPr>
          <w:rFonts w:ascii="Arial" w:hAnsi="Arial" w:cs="Arial"/>
          <w:sz w:val="24"/>
          <w:szCs w:val="24"/>
        </w:rPr>
        <w:t>primeira</w:t>
      </w:r>
      <w:r w:rsidR="009C25D0" w:rsidRPr="00872429">
        <w:rPr>
          <w:rFonts w:ascii="Arial" w:hAnsi="Arial" w:cs="Arial"/>
          <w:sz w:val="24"/>
          <w:szCs w:val="24"/>
        </w:rPr>
        <w:t xml:space="preserve"> </w:t>
      </w:r>
      <w:r w:rsidR="00D06E71" w:rsidRPr="00872429">
        <w:rPr>
          <w:rFonts w:ascii="Arial" w:hAnsi="Arial" w:cs="Arial"/>
          <w:sz w:val="24"/>
          <w:szCs w:val="24"/>
        </w:rPr>
        <w:t>década</w:t>
      </w:r>
      <w:r w:rsidR="009C25D0" w:rsidRPr="00872429">
        <w:rPr>
          <w:rFonts w:ascii="Arial" w:hAnsi="Arial" w:cs="Arial"/>
          <w:sz w:val="24"/>
          <w:szCs w:val="24"/>
        </w:rPr>
        <w:t xml:space="preserve"> </w:t>
      </w:r>
      <w:r w:rsidR="00EE4053" w:rsidRPr="00872429">
        <w:rPr>
          <w:rFonts w:ascii="Arial" w:hAnsi="Arial" w:cs="Arial"/>
          <w:sz w:val="24"/>
          <w:szCs w:val="24"/>
        </w:rPr>
        <w:t>do século XXI</w:t>
      </w:r>
      <w:r w:rsidRPr="00872429">
        <w:rPr>
          <w:rFonts w:ascii="Arial" w:hAnsi="Arial" w:cs="Arial"/>
          <w:sz w:val="24"/>
          <w:szCs w:val="24"/>
        </w:rPr>
        <w:t xml:space="preserve">, ciente da importância das indústrias farmoquímica e farmacêutica para a área da saúde, e preocupado com o déficit comercial do setor, iniciou algumas ações que buscam reduzir as assimetrias existentes </w:t>
      </w:r>
      <w:r w:rsidRPr="00872429">
        <w:rPr>
          <w:rFonts w:ascii="Arial" w:hAnsi="Arial" w:cs="Arial"/>
          <w:sz w:val="24"/>
          <w:szCs w:val="24"/>
        </w:rPr>
        <w:lastRenderedPageBreak/>
        <w:t xml:space="preserve">entre o Brasil e os países industrializados, com vistas a tornar </w:t>
      </w:r>
      <w:r w:rsidR="00495764" w:rsidRPr="00872429">
        <w:rPr>
          <w:rFonts w:ascii="Arial" w:hAnsi="Arial" w:cs="Arial"/>
          <w:sz w:val="24"/>
          <w:szCs w:val="24"/>
        </w:rPr>
        <w:t xml:space="preserve">mais competitivas </w:t>
      </w:r>
      <w:r w:rsidRPr="00872429">
        <w:rPr>
          <w:rFonts w:ascii="Arial" w:hAnsi="Arial" w:cs="Arial"/>
          <w:sz w:val="24"/>
          <w:szCs w:val="24"/>
        </w:rPr>
        <w:t xml:space="preserve">as empresas instaladas no país. </w:t>
      </w:r>
    </w:p>
    <w:p w:rsidR="00356FDA" w:rsidRPr="00872429" w:rsidRDefault="00E30CBF" w:rsidP="00E30CBF">
      <w:pPr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 xml:space="preserve">Uma dessas ações foi </w:t>
      </w:r>
      <w:proofErr w:type="gramStart"/>
      <w:r w:rsidRPr="00872429">
        <w:rPr>
          <w:rFonts w:ascii="Arial" w:hAnsi="Arial" w:cs="Arial"/>
          <w:sz w:val="24"/>
          <w:szCs w:val="24"/>
        </w:rPr>
        <w:t>a</w:t>
      </w:r>
      <w:proofErr w:type="gramEnd"/>
      <w:r w:rsidRPr="00872429">
        <w:rPr>
          <w:rFonts w:ascii="Arial" w:hAnsi="Arial" w:cs="Arial"/>
          <w:sz w:val="24"/>
          <w:szCs w:val="24"/>
        </w:rPr>
        <w:t xml:space="preserve"> publicação</w:t>
      </w:r>
      <w:r w:rsidR="00122F5B" w:rsidRPr="00872429">
        <w:rPr>
          <w:rFonts w:ascii="Arial" w:hAnsi="Arial" w:cs="Arial"/>
          <w:sz w:val="24"/>
          <w:szCs w:val="24"/>
        </w:rPr>
        <w:t>,</w:t>
      </w:r>
      <w:r w:rsidRPr="00872429">
        <w:rPr>
          <w:rFonts w:ascii="Arial" w:hAnsi="Arial" w:cs="Arial"/>
          <w:sz w:val="24"/>
          <w:szCs w:val="24"/>
        </w:rPr>
        <w:t xml:space="preserve"> em dezembro de 2009, pela Agência Nacional de Vigilância Sanitária (ANVISA), da Resolução da Diretoria Colegiada (RDC) n° 57/09</w:t>
      </w:r>
      <w:r w:rsidR="00287F3A" w:rsidRPr="00872429">
        <w:rPr>
          <w:rFonts w:ascii="Arial" w:hAnsi="Arial" w:cs="Arial"/>
          <w:sz w:val="24"/>
          <w:szCs w:val="24"/>
        </w:rPr>
        <w:t>(</w:t>
      </w:r>
      <w:r w:rsidR="000D0C14" w:rsidRPr="00872429">
        <w:rPr>
          <w:rFonts w:ascii="Arial" w:hAnsi="Arial" w:cs="Arial"/>
          <w:sz w:val="24"/>
          <w:szCs w:val="24"/>
        </w:rPr>
        <w:t>A</w:t>
      </w:r>
      <w:r w:rsidR="00F2011E" w:rsidRPr="00872429">
        <w:rPr>
          <w:rFonts w:ascii="Arial" w:hAnsi="Arial" w:cs="Arial"/>
          <w:sz w:val="24"/>
          <w:szCs w:val="24"/>
        </w:rPr>
        <w:t>gência Nacional de Vigilância Sanitária</w:t>
      </w:r>
      <w:r w:rsidR="00287F3A" w:rsidRPr="00872429">
        <w:rPr>
          <w:rFonts w:ascii="Arial" w:hAnsi="Arial" w:cs="Arial"/>
          <w:sz w:val="24"/>
          <w:szCs w:val="24"/>
        </w:rPr>
        <w:t>)</w:t>
      </w:r>
      <w:r w:rsidR="00452C9A">
        <w:rPr>
          <w:rFonts w:ascii="Arial" w:hAnsi="Arial" w:cs="Arial"/>
          <w:sz w:val="24"/>
          <w:szCs w:val="24"/>
          <w:vertAlign w:val="superscript"/>
        </w:rPr>
        <w:t>10</w:t>
      </w:r>
      <w:r w:rsidRPr="00872429">
        <w:rPr>
          <w:rFonts w:ascii="Arial" w:hAnsi="Arial" w:cs="Arial"/>
          <w:sz w:val="24"/>
          <w:szCs w:val="24"/>
        </w:rPr>
        <w:t xml:space="preserve"> - regulamento técnico para o registro de </w:t>
      </w:r>
      <w:proofErr w:type="spellStart"/>
      <w:r w:rsidRPr="00872429">
        <w:rPr>
          <w:rFonts w:ascii="Arial" w:hAnsi="Arial" w:cs="Arial"/>
          <w:sz w:val="24"/>
          <w:szCs w:val="24"/>
        </w:rPr>
        <w:t>IFAs</w:t>
      </w:r>
      <w:proofErr w:type="spellEnd"/>
      <w:r w:rsidRPr="00872429">
        <w:rPr>
          <w:rFonts w:ascii="Arial" w:hAnsi="Arial" w:cs="Arial"/>
          <w:sz w:val="24"/>
          <w:szCs w:val="24"/>
        </w:rPr>
        <w:t xml:space="preserve"> consumidos no país</w:t>
      </w:r>
      <w:r w:rsidR="00E77E20" w:rsidRPr="00872429">
        <w:rPr>
          <w:rFonts w:ascii="Arial" w:hAnsi="Arial" w:cs="Arial"/>
          <w:sz w:val="24"/>
          <w:szCs w:val="24"/>
        </w:rPr>
        <w:t>; fossem eles fabricados no Brasil ou importados, estabelecendo um novo marco regulatório no país.</w:t>
      </w:r>
    </w:p>
    <w:p w:rsidR="00356FDA" w:rsidRPr="00872429" w:rsidRDefault="00356FDA" w:rsidP="00356FDA">
      <w:pPr>
        <w:pStyle w:val="Corpodetexto"/>
        <w:rPr>
          <w:rFonts w:ascii="Arial" w:hAnsi="Arial" w:cs="Arial"/>
          <w:szCs w:val="24"/>
        </w:rPr>
      </w:pPr>
      <w:r w:rsidRPr="00872429">
        <w:rPr>
          <w:rFonts w:ascii="Arial" w:hAnsi="Arial" w:cs="Arial"/>
          <w:szCs w:val="24"/>
        </w:rPr>
        <w:t xml:space="preserve">O registro dos insumos farmacêuticos ativos atende a uma demanda antiga do setor produtivo nacional de fármacos, pois deverá dificultar a importação de </w:t>
      </w:r>
      <w:proofErr w:type="spellStart"/>
      <w:r w:rsidRPr="00872429">
        <w:rPr>
          <w:rFonts w:ascii="Arial" w:hAnsi="Arial" w:cs="Arial"/>
          <w:szCs w:val="24"/>
        </w:rPr>
        <w:t>IFAs</w:t>
      </w:r>
      <w:proofErr w:type="spellEnd"/>
      <w:r w:rsidR="00026E71" w:rsidRPr="00872429">
        <w:rPr>
          <w:rFonts w:ascii="Arial" w:hAnsi="Arial" w:cs="Arial"/>
          <w:szCs w:val="24"/>
        </w:rPr>
        <w:t xml:space="preserve"> </w:t>
      </w:r>
      <w:r w:rsidRPr="00872429">
        <w:rPr>
          <w:rFonts w:ascii="Arial" w:hAnsi="Arial" w:cs="Arial"/>
          <w:szCs w:val="24"/>
        </w:rPr>
        <w:t>que chegam ao Brasil a preços muito menores (por não atenderem as boas práticas de fabricação, portanto com menor custo de produção) do que aqueles praticados pelos produtores nacionais e que, assim, ameaçam, de forma inconteste, a competitividade desses fabricantes.</w:t>
      </w:r>
    </w:p>
    <w:p w:rsidR="00356FDA" w:rsidRPr="00872429" w:rsidRDefault="00356FDA" w:rsidP="00356FDA">
      <w:pPr>
        <w:pStyle w:val="Corpodetexto"/>
        <w:rPr>
          <w:rFonts w:ascii="Arial" w:hAnsi="Arial" w:cs="Arial"/>
          <w:szCs w:val="24"/>
        </w:rPr>
      </w:pPr>
      <w:r w:rsidRPr="00872429">
        <w:rPr>
          <w:rFonts w:ascii="Arial" w:hAnsi="Arial" w:cs="Arial"/>
          <w:szCs w:val="24"/>
        </w:rPr>
        <w:t>Foram considerados como pressupostos do estudo a condição de setor dependente de importações, cuja falta de isonomia regulatória</w:t>
      </w:r>
      <w:r w:rsidR="00452C9A">
        <w:rPr>
          <w:rFonts w:ascii="Arial" w:hAnsi="Arial" w:cs="Arial"/>
          <w:szCs w:val="24"/>
        </w:rPr>
        <w:t xml:space="preserve"> </w:t>
      </w:r>
      <w:r w:rsidRPr="00872429">
        <w:rPr>
          <w:rFonts w:ascii="Arial" w:hAnsi="Arial" w:cs="Arial"/>
          <w:szCs w:val="24"/>
        </w:rPr>
        <w:t>- mesmas exigências técnicas para o produto nacional e o importado – vem sendo apontada pelas empresas produtoras nacionais como uma das principais e mais importantes causas do atual estágio precário da indústria farmoquímica no país.</w:t>
      </w:r>
      <w:r w:rsidR="0048573F" w:rsidRPr="00872429">
        <w:rPr>
          <w:rFonts w:ascii="Arial" w:hAnsi="Arial" w:cs="Arial"/>
          <w:szCs w:val="24"/>
        </w:rPr>
        <w:t xml:space="preserve"> </w:t>
      </w:r>
      <w:r w:rsidRPr="00872429">
        <w:rPr>
          <w:rFonts w:ascii="Arial" w:hAnsi="Arial" w:cs="Arial"/>
          <w:szCs w:val="24"/>
        </w:rPr>
        <w:t>Essa situação, aliada a fatores conjunturais e à ausência de outras políticas para o setor da saúde, contribuiu para o pífio desempenho da indústria farmoquímica brasileira nos últimos anos</w:t>
      </w:r>
      <w:r w:rsidR="009C25D0" w:rsidRPr="00872429">
        <w:rPr>
          <w:rFonts w:ascii="Arial" w:hAnsi="Arial" w:cs="Arial"/>
          <w:szCs w:val="24"/>
        </w:rPr>
        <w:t xml:space="preserve"> </w:t>
      </w:r>
      <w:r w:rsidRPr="00872429">
        <w:rPr>
          <w:rFonts w:ascii="Arial" w:hAnsi="Arial" w:cs="Arial"/>
          <w:szCs w:val="24"/>
        </w:rPr>
        <w:t>que, por sua vez, impacta no atual déficit do CIS.</w:t>
      </w:r>
    </w:p>
    <w:p w:rsidR="00356FDA" w:rsidRPr="00872429" w:rsidRDefault="00356FDA" w:rsidP="00356FDA">
      <w:pPr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>Sendo assim, a hipótese de trabalho considerada foi que a exigência do registro para fármacos, além de assegurar qualidade a esses produtos, reduzirá a importação dos mesmos</w:t>
      </w:r>
      <w:r w:rsidR="006B1BE8" w:rsidRPr="00872429">
        <w:rPr>
          <w:rFonts w:ascii="Arial" w:hAnsi="Arial" w:cs="Arial"/>
          <w:sz w:val="24"/>
          <w:szCs w:val="24"/>
        </w:rPr>
        <w:t>,</w:t>
      </w:r>
      <w:r w:rsidRPr="00872429">
        <w:rPr>
          <w:rFonts w:ascii="Arial" w:hAnsi="Arial" w:cs="Arial"/>
          <w:sz w:val="24"/>
          <w:szCs w:val="24"/>
        </w:rPr>
        <w:t xml:space="preserve"> como consequência da diminuição do número de empresas internacionais ofertantes (pelo fato do não cumprimento do regulatório), possibilitando o deslocamento da demanda por esses produtos para os fabricantes no país e, desta forma, o aumento da produção local.</w:t>
      </w:r>
    </w:p>
    <w:p w:rsidR="00E30CBF" w:rsidRPr="00872429" w:rsidRDefault="00356FDA" w:rsidP="00356FDA">
      <w:pPr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 xml:space="preserve">O presente estudo teve por objetivo investigar e avaliar a potencial contribuição que o registro de </w:t>
      </w:r>
      <w:proofErr w:type="spellStart"/>
      <w:r w:rsidRPr="00872429">
        <w:rPr>
          <w:rFonts w:ascii="Arial" w:hAnsi="Arial" w:cs="Arial"/>
          <w:sz w:val="24"/>
          <w:szCs w:val="24"/>
        </w:rPr>
        <w:t>IFAs</w:t>
      </w:r>
      <w:proofErr w:type="spellEnd"/>
      <w:r w:rsidR="009C25D0" w:rsidRPr="00872429">
        <w:rPr>
          <w:rFonts w:ascii="Arial" w:hAnsi="Arial" w:cs="Arial"/>
          <w:sz w:val="24"/>
          <w:szCs w:val="24"/>
        </w:rPr>
        <w:t xml:space="preserve"> </w:t>
      </w:r>
      <w:r w:rsidRPr="00872429">
        <w:rPr>
          <w:rFonts w:ascii="Arial" w:hAnsi="Arial" w:cs="Arial"/>
          <w:sz w:val="24"/>
          <w:szCs w:val="24"/>
        </w:rPr>
        <w:t xml:space="preserve">teve no estabelecimento da isonomia regulatória e que efetividade essa isonomia teve no restabelecimento da produção local de </w:t>
      </w:r>
      <w:proofErr w:type="spellStart"/>
      <w:r w:rsidRPr="00872429">
        <w:rPr>
          <w:rFonts w:ascii="Arial" w:hAnsi="Arial" w:cs="Arial"/>
          <w:sz w:val="24"/>
          <w:szCs w:val="24"/>
        </w:rPr>
        <w:t>IFAs</w:t>
      </w:r>
      <w:proofErr w:type="spellEnd"/>
      <w:r w:rsidR="004F4419" w:rsidRPr="00872429">
        <w:rPr>
          <w:rFonts w:ascii="Arial" w:hAnsi="Arial" w:cs="Arial"/>
          <w:sz w:val="24"/>
          <w:szCs w:val="24"/>
        </w:rPr>
        <w:t xml:space="preserve">, ao possibilitar a substituição de </w:t>
      </w:r>
      <w:proofErr w:type="spellStart"/>
      <w:r w:rsidR="004F4419" w:rsidRPr="00872429">
        <w:rPr>
          <w:rFonts w:ascii="Arial" w:hAnsi="Arial" w:cs="Arial"/>
          <w:sz w:val="24"/>
          <w:szCs w:val="24"/>
        </w:rPr>
        <w:t>IFAs</w:t>
      </w:r>
      <w:proofErr w:type="spellEnd"/>
      <w:r w:rsidR="004F4419" w:rsidRPr="00872429">
        <w:rPr>
          <w:rFonts w:ascii="Arial" w:hAnsi="Arial" w:cs="Arial"/>
          <w:sz w:val="24"/>
          <w:szCs w:val="24"/>
        </w:rPr>
        <w:t xml:space="preserve"> importados por produtos fabricados localmente.</w:t>
      </w:r>
    </w:p>
    <w:p w:rsidR="00CF6F4B" w:rsidRPr="00872429" w:rsidRDefault="00CF6F4B" w:rsidP="0099420D">
      <w:pPr>
        <w:pStyle w:val="Corpodetexto"/>
        <w:spacing w:before="120"/>
        <w:ind w:firstLine="0"/>
        <w:rPr>
          <w:rFonts w:ascii="Arial" w:hAnsi="Arial" w:cs="Arial"/>
          <w:b/>
          <w:szCs w:val="24"/>
        </w:rPr>
      </w:pPr>
      <w:r w:rsidRPr="00872429">
        <w:rPr>
          <w:rFonts w:ascii="Arial" w:hAnsi="Arial" w:cs="Arial"/>
          <w:b/>
          <w:szCs w:val="24"/>
        </w:rPr>
        <w:t>Metodologia</w:t>
      </w:r>
    </w:p>
    <w:p w:rsidR="00E30CBF" w:rsidRPr="00872429" w:rsidRDefault="00E30CBF" w:rsidP="00E30CBF">
      <w:pPr>
        <w:pStyle w:val="Corpodetexto"/>
        <w:rPr>
          <w:rFonts w:ascii="Arial" w:hAnsi="Arial" w:cs="Arial"/>
          <w:szCs w:val="24"/>
        </w:rPr>
      </w:pPr>
      <w:r w:rsidRPr="00872429">
        <w:rPr>
          <w:rFonts w:ascii="Arial" w:hAnsi="Arial" w:cs="Arial"/>
          <w:szCs w:val="24"/>
        </w:rPr>
        <w:t xml:space="preserve">A pesquisa foi de natureza investigativa, bibliográfica e longitudinal. </w:t>
      </w:r>
    </w:p>
    <w:p w:rsidR="00E30CBF" w:rsidRPr="00872429" w:rsidRDefault="00120181" w:rsidP="00E30CBF">
      <w:pPr>
        <w:pStyle w:val="Corpodetexto"/>
        <w:rPr>
          <w:rFonts w:ascii="Arial" w:hAnsi="Arial" w:cs="Arial"/>
          <w:szCs w:val="24"/>
        </w:rPr>
      </w:pPr>
      <w:r w:rsidRPr="00872429">
        <w:rPr>
          <w:rFonts w:ascii="Arial" w:hAnsi="Arial" w:cs="Arial"/>
          <w:szCs w:val="24"/>
        </w:rPr>
        <w:t xml:space="preserve">No estudo foram analisadas </w:t>
      </w:r>
      <w:r w:rsidR="00E30CBF" w:rsidRPr="00872429">
        <w:rPr>
          <w:rFonts w:ascii="Arial" w:hAnsi="Arial" w:cs="Arial"/>
          <w:szCs w:val="24"/>
        </w:rPr>
        <w:t xml:space="preserve">as exigências sanitárias para </w:t>
      </w:r>
      <w:proofErr w:type="gramStart"/>
      <w:r w:rsidR="00E30CBF" w:rsidRPr="00872429">
        <w:rPr>
          <w:rFonts w:ascii="Arial" w:hAnsi="Arial" w:cs="Arial"/>
          <w:szCs w:val="24"/>
        </w:rPr>
        <w:t>o registro de fármacos estabelecidas</w:t>
      </w:r>
      <w:proofErr w:type="gramEnd"/>
      <w:r w:rsidR="00E30CBF" w:rsidRPr="00872429">
        <w:rPr>
          <w:rFonts w:ascii="Arial" w:hAnsi="Arial" w:cs="Arial"/>
          <w:szCs w:val="24"/>
        </w:rPr>
        <w:t xml:space="preserve"> pela RDC n° 57/09 </w:t>
      </w:r>
      <w:r w:rsidRPr="00872429">
        <w:rPr>
          <w:rFonts w:ascii="Arial" w:hAnsi="Arial" w:cs="Arial"/>
          <w:szCs w:val="24"/>
        </w:rPr>
        <w:t xml:space="preserve">e comparadas com </w:t>
      </w:r>
      <w:r w:rsidR="00E30CBF" w:rsidRPr="00872429">
        <w:rPr>
          <w:rFonts w:ascii="Arial" w:hAnsi="Arial" w:cs="Arial"/>
          <w:szCs w:val="24"/>
        </w:rPr>
        <w:t xml:space="preserve">aquelas praticadas pelas agências </w:t>
      </w:r>
      <w:r w:rsidR="00E30CBF" w:rsidRPr="00872429">
        <w:rPr>
          <w:rFonts w:ascii="Arial" w:hAnsi="Arial" w:cs="Arial"/>
          <w:szCs w:val="24"/>
        </w:rPr>
        <w:lastRenderedPageBreak/>
        <w:t xml:space="preserve">americana, </w:t>
      </w:r>
      <w:proofErr w:type="spellStart"/>
      <w:r w:rsidR="00E30CBF" w:rsidRPr="00872429">
        <w:rPr>
          <w:rFonts w:ascii="Arial" w:hAnsi="Arial" w:cs="Arial"/>
          <w:i/>
          <w:szCs w:val="24"/>
        </w:rPr>
        <w:t>Food</w:t>
      </w:r>
      <w:proofErr w:type="spellEnd"/>
      <w:r w:rsidR="002D5581" w:rsidRPr="00872429">
        <w:rPr>
          <w:rFonts w:ascii="Arial" w:hAnsi="Arial" w:cs="Arial"/>
          <w:i/>
          <w:szCs w:val="24"/>
        </w:rPr>
        <w:t xml:space="preserve"> </w:t>
      </w:r>
      <w:proofErr w:type="spellStart"/>
      <w:r w:rsidR="00E30CBF" w:rsidRPr="00872429">
        <w:rPr>
          <w:rFonts w:ascii="Arial" w:hAnsi="Arial" w:cs="Arial"/>
          <w:i/>
          <w:szCs w:val="24"/>
        </w:rPr>
        <w:t>and</w:t>
      </w:r>
      <w:proofErr w:type="spellEnd"/>
      <w:r w:rsidR="002D5581" w:rsidRPr="00872429">
        <w:rPr>
          <w:rFonts w:ascii="Arial" w:hAnsi="Arial" w:cs="Arial"/>
          <w:i/>
          <w:szCs w:val="24"/>
        </w:rPr>
        <w:t xml:space="preserve"> </w:t>
      </w:r>
      <w:proofErr w:type="spellStart"/>
      <w:r w:rsidR="00E30CBF" w:rsidRPr="00872429">
        <w:rPr>
          <w:rFonts w:ascii="Arial" w:hAnsi="Arial" w:cs="Arial"/>
          <w:i/>
          <w:szCs w:val="24"/>
        </w:rPr>
        <w:t>Drug</w:t>
      </w:r>
      <w:proofErr w:type="spellEnd"/>
      <w:r w:rsidR="002D5581" w:rsidRPr="00872429">
        <w:rPr>
          <w:rFonts w:ascii="Arial" w:hAnsi="Arial" w:cs="Arial"/>
          <w:i/>
          <w:szCs w:val="24"/>
        </w:rPr>
        <w:t xml:space="preserve"> </w:t>
      </w:r>
      <w:proofErr w:type="spellStart"/>
      <w:r w:rsidR="00E30CBF" w:rsidRPr="00872429">
        <w:rPr>
          <w:rFonts w:ascii="Arial" w:hAnsi="Arial" w:cs="Arial"/>
          <w:i/>
          <w:szCs w:val="24"/>
        </w:rPr>
        <w:t>Administration</w:t>
      </w:r>
      <w:proofErr w:type="spellEnd"/>
      <w:r w:rsidR="00E30CBF" w:rsidRPr="00872429">
        <w:rPr>
          <w:rFonts w:ascii="Arial" w:hAnsi="Arial" w:cs="Arial"/>
          <w:szCs w:val="24"/>
        </w:rPr>
        <w:t xml:space="preserve"> (FDA) e a europeia, </w:t>
      </w:r>
      <w:proofErr w:type="spellStart"/>
      <w:r w:rsidR="00E30CBF" w:rsidRPr="00872429">
        <w:rPr>
          <w:rFonts w:ascii="Arial" w:hAnsi="Arial" w:cs="Arial"/>
          <w:i/>
          <w:szCs w:val="24"/>
        </w:rPr>
        <w:t>European</w:t>
      </w:r>
      <w:proofErr w:type="spellEnd"/>
      <w:r w:rsidR="00E30CBF" w:rsidRPr="00872429">
        <w:rPr>
          <w:rFonts w:ascii="Arial" w:hAnsi="Arial" w:cs="Arial"/>
          <w:i/>
          <w:szCs w:val="24"/>
        </w:rPr>
        <w:t xml:space="preserve"> Medicines </w:t>
      </w:r>
      <w:proofErr w:type="spellStart"/>
      <w:r w:rsidR="00E30CBF" w:rsidRPr="00872429">
        <w:rPr>
          <w:rFonts w:ascii="Arial" w:hAnsi="Arial" w:cs="Arial"/>
          <w:i/>
          <w:szCs w:val="24"/>
        </w:rPr>
        <w:t>Agency</w:t>
      </w:r>
      <w:proofErr w:type="spellEnd"/>
      <w:r w:rsidR="002D5581" w:rsidRPr="00872429">
        <w:rPr>
          <w:rFonts w:ascii="Arial" w:hAnsi="Arial" w:cs="Arial"/>
          <w:i/>
          <w:szCs w:val="24"/>
        </w:rPr>
        <w:t xml:space="preserve"> </w:t>
      </w:r>
      <w:r w:rsidR="00E30CBF" w:rsidRPr="00872429">
        <w:rPr>
          <w:rFonts w:ascii="Arial" w:hAnsi="Arial" w:cs="Arial"/>
          <w:szCs w:val="24"/>
        </w:rPr>
        <w:t>(EMA).</w:t>
      </w:r>
    </w:p>
    <w:p w:rsidR="00E30CBF" w:rsidRPr="00872429" w:rsidRDefault="00E30CBF" w:rsidP="00E30CBF">
      <w:pPr>
        <w:pStyle w:val="Corpodetexto"/>
        <w:rPr>
          <w:rFonts w:ascii="Arial" w:hAnsi="Arial" w:cs="Arial"/>
          <w:szCs w:val="24"/>
        </w:rPr>
      </w:pPr>
      <w:r w:rsidRPr="00872429">
        <w:rPr>
          <w:rFonts w:ascii="Arial" w:hAnsi="Arial" w:cs="Arial"/>
          <w:szCs w:val="24"/>
        </w:rPr>
        <w:t>Para a coleta de dados foram utilizadas diversas bases de dados, tanto nacionais</w:t>
      </w:r>
      <w:r w:rsidR="00452C9A">
        <w:rPr>
          <w:rFonts w:ascii="Arial" w:hAnsi="Arial" w:cs="Arial"/>
          <w:szCs w:val="24"/>
        </w:rPr>
        <w:t xml:space="preserve"> </w:t>
      </w:r>
      <w:r w:rsidRPr="00872429">
        <w:rPr>
          <w:rFonts w:ascii="Arial" w:hAnsi="Arial" w:cs="Arial"/>
          <w:szCs w:val="24"/>
        </w:rPr>
        <w:t xml:space="preserve">quanto internacionais; tanto públicas quanto privadas. Tais bases foram capazes de fornecer as seguintes informações: relação de empresas com cadastro dos 20 </w:t>
      </w:r>
      <w:proofErr w:type="spellStart"/>
      <w:r w:rsidRPr="00872429">
        <w:rPr>
          <w:rFonts w:ascii="Arial" w:hAnsi="Arial" w:cs="Arial"/>
          <w:szCs w:val="24"/>
        </w:rPr>
        <w:t>IFAs</w:t>
      </w:r>
      <w:proofErr w:type="spellEnd"/>
      <w:r w:rsidRPr="00872429">
        <w:rPr>
          <w:rFonts w:ascii="Arial" w:hAnsi="Arial" w:cs="Arial"/>
          <w:szCs w:val="24"/>
        </w:rPr>
        <w:t xml:space="preserve"> estudados na ANVISA; relação de empresas com registro de medicamentos à base desses </w:t>
      </w:r>
      <w:proofErr w:type="spellStart"/>
      <w:r w:rsidRPr="00872429">
        <w:rPr>
          <w:rFonts w:ascii="Arial" w:hAnsi="Arial" w:cs="Arial"/>
          <w:szCs w:val="24"/>
        </w:rPr>
        <w:t>IFAs</w:t>
      </w:r>
      <w:proofErr w:type="spellEnd"/>
      <w:r w:rsidRPr="00872429">
        <w:rPr>
          <w:rFonts w:ascii="Arial" w:hAnsi="Arial" w:cs="Arial"/>
          <w:szCs w:val="24"/>
        </w:rPr>
        <w:t xml:space="preserve"> na ANVISA; produtores nacionais e internacionais desses </w:t>
      </w:r>
      <w:proofErr w:type="spellStart"/>
      <w:r w:rsidRPr="00872429">
        <w:rPr>
          <w:rFonts w:ascii="Arial" w:hAnsi="Arial" w:cs="Arial"/>
          <w:szCs w:val="24"/>
        </w:rPr>
        <w:t>IFAs</w:t>
      </w:r>
      <w:proofErr w:type="spellEnd"/>
      <w:r w:rsidRPr="00872429">
        <w:rPr>
          <w:rFonts w:ascii="Arial" w:hAnsi="Arial" w:cs="Arial"/>
          <w:szCs w:val="24"/>
        </w:rPr>
        <w:t>; dados de importação (incluindo origem) desses fármacos em período iniciado antes da publicação da RDC n° 57</w:t>
      </w:r>
      <w:r w:rsidR="002C30B5" w:rsidRPr="00872429">
        <w:rPr>
          <w:rFonts w:ascii="Arial" w:hAnsi="Arial" w:cs="Arial"/>
          <w:szCs w:val="24"/>
        </w:rPr>
        <w:t>/</w:t>
      </w:r>
      <w:r w:rsidRPr="00872429">
        <w:rPr>
          <w:rFonts w:ascii="Arial" w:hAnsi="Arial" w:cs="Arial"/>
          <w:szCs w:val="24"/>
        </w:rPr>
        <w:t>09</w:t>
      </w:r>
      <w:r w:rsidR="00362AA8" w:rsidRPr="00872429">
        <w:rPr>
          <w:rFonts w:ascii="Arial" w:hAnsi="Arial" w:cs="Arial"/>
          <w:szCs w:val="24"/>
        </w:rPr>
        <w:t>,</w:t>
      </w:r>
      <w:r w:rsidRPr="00872429">
        <w:rPr>
          <w:rFonts w:ascii="Arial" w:hAnsi="Arial" w:cs="Arial"/>
          <w:szCs w:val="24"/>
        </w:rPr>
        <w:t xml:space="preserve"> até dezembro de 2012; relação dos </w:t>
      </w:r>
      <w:proofErr w:type="spellStart"/>
      <w:r w:rsidRPr="00872429">
        <w:rPr>
          <w:rFonts w:ascii="Arial" w:hAnsi="Arial" w:cs="Arial"/>
          <w:szCs w:val="24"/>
        </w:rPr>
        <w:t>IFAs</w:t>
      </w:r>
      <w:proofErr w:type="spellEnd"/>
      <w:r w:rsidRPr="00872429">
        <w:rPr>
          <w:rFonts w:ascii="Arial" w:hAnsi="Arial" w:cs="Arial"/>
          <w:szCs w:val="24"/>
        </w:rPr>
        <w:t xml:space="preserve"> registrados até dezembro de 2012 e resultados das inspeções internacionais realizadas pela ANVISA. </w:t>
      </w:r>
    </w:p>
    <w:p w:rsidR="00E30CBF" w:rsidRPr="00872429" w:rsidRDefault="00120181" w:rsidP="00E30CBF">
      <w:pPr>
        <w:pStyle w:val="Corpodetexto"/>
        <w:rPr>
          <w:rFonts w:ascii="Arial" w:hAnsi="Arial" w:cs="Arial"/>
          <w:szCs w:val="24"/>
        </w:rPr>
      </w:pPr>
      <w:r w:rsidRPr="00872429">
        <w:rPr>
          <w:rFonts w:ascii="Arial" w:hAnsi="Arial" w:cs="Arial"/>
          <w:szCs w:val="24"/>
        </w:rPr>
        <w:t>O</w:t>
      </w:r>
      <w:r w:rsidR="00E30CBF" w:rsidRPr="00872429">
        <w:rPr>
          <w:rFonts w:ascii="Arial" w:hAnsi="Arial" w:cs="Arial"/>
          <w:szCs w:val="24"/>
        </w:rPr>
        <w:t xml:space="preserve">s dados levantados </w:t>
      </w:r>
      <w:r w:rsidRPr="00872429">
        <w:rPr>
          <w:rFonts w:ascii="Arial" w:hAnsi="Arial" w:cs="Arial"/>
          <w:szCs w:val="24"/>
        </w:rPr>
        <w:t>foram analisados,</w:t>
      </w:r>
      <w:r w:rsidR="00E30CBF" w:rsidRPr="00872429">
        <w:rPr>
          <w:rFonts w:ascii="Arial" w:hAnsi="Arial" w:cs="Arial"/>
          <w:szCs w:val="24"/>
        </w:rPr>
        <w:t xml:space="preserve"> resultando na confecção de </w:t>
      </w:r>
      <w:r w:rsidR="0099420D">
        <w:rPr>
          <w:rFonts w:ascii="Arial" w:hAnsi="Arial" w:cs="Arial"/>
          <w:szCs w:val="24"/>
        </w:rPr>
        <w:t>tabelas</w:t>
      </w:r>
      <w:r w:rsidR="00E30CBF" w:rsidRPr="00872429">
        <w:rPr>
          <w:rFonts w:ascii="Arial" w:hAnsi="Arial" w:cs="Arial"/>
          <w:szCs w:val="24"/>
        </w:rPr>
        <w:t xml:space="preserve"> e </w:t>
      </w:r>
      <w:r w:rsidR="00A36211" w:rsidRPr="00872429">
        <w:rPr>
          <w:rFonts w:ascii="Arial" w:hAnsi="Arial" w:cs="Arial"/>
          <w:szCs w:val="24"/>
        </w:rPr>
        <w:t>g</w:t>
      </w:r>
      <w:r w:rsidR="00AC4343" w:rsidRPr="00872429">
        <w:rPr>
          <w:rFonts w:ascii="Arial" w:hAnsi="Arial" w:cs="Arial"/>
          <w:szCs w:val="24"/>
        </w:rPr>
        <w:t>ráfico</w:t>
      </w:r>
      <w:r w:rsidR="006065D0" w:rsidRPr="00872429">
        <w:rPr>
          <w:rFonts w:ascii="Arial" w:hAnsi="Arial" w:cs="Arial"/>
          <w:szCs w:val="24"/>
        </w:rPr>
        <w:t>s</w:t>
      </w:r>
      <w:r w:rsidR="00E30CBF" w:rsidRPr="00872429">
        <w:rPr>
          <w:rFonts w:ascii="Arial" w:hAnsi="Arial" w:cs="Arial"/>
          <w:szCs w:val="24"/>
        </w:rPr>
        <w:t xml:space="preserve">. </w:t>
      </w:r>
    </w:p>
    <w:p w:rsidR="00E30CBF" w:rsidRPr="00872429" w:rsidRDefault="00E30CBF" w:rsidP="00E30CBF">
      <w:pPr>
        <w:pStyle w:val="Corpodetexto"/>
        <w:rPr>
          <w:rFonts w:ascii="Arial" w:hAnsi="Arial" w:cs="Arial"/>
          <w:szCs w:val="24"/>
        </w:rPr>
      </w:pPr>
      <w:r w:rsidRPr="00872429">
        <w:rPr>
          <w:rFonts w:ascii="Arial" w:hAnsi="Arial" w:cs="Arial"/>
          <w:szCs w:val="24"/>
        </w:rPr>
        <w:t>O estudo foi conduzido com dados do período compreendido entre setembro de 1976 (referência mais antiga pesquisada) e janeiro de 2013</w:t>
      </w:r>
      <w:r w:rsidR="00362AA8" w:rsidRPr="00872429">
        <w:rPr>
          <w:rFonts w:ascii="Arial" w:hAnsi="Arial" w:cs="Arial"/>
          <w:szCs w:val="24"/>
        </w:rPr>
        <w:t>,</w:t>
      </w:r>
      <w:r w:rsidRPr="00872429">
        <w:rPr>
          <w:rFonts w:ascii="Arial" w:hAnsi="Arial" w:cs="Arial"/>
          <w:szCs w:val="24"/>
        </w:rPr>
        <w:t xml:space="preserve"> e seguiu as seguintes estratégias: cruzamento de informações, elaboração de matriz de resultados, e estratificação e classificação dos resultados.</w:t>
      </w:r>
    </w:p>
    <w:p w:rsidR="00E30CBF" w:rsidRPr="00872429" w:rsidRDefault="00E30CBF" w:rsidP="0099420D">
      <w:pPr>
        <w:pStyle w:val="Corpodetexto"/>
        <w:spacing w:before="120"/>
        <w:ind w:firstLine="0"/>
        <w:rPr>
          <w:rFonts w:ascii="Arial" w:hAnsi="Arial" w:cs="Arial"/>
          <w:b/>
          <w:szCs w:val="24"/>
        </w:rPr>
      </w:pPr>
      <w:r w:rsidRPr="00872429">
        <w:rPr>
          <w:rFonts w:ascii="Arial" w:hAnsi="Arial" w:cs="Arial"/>
          <w:b/>
          <w:szCs w:val="24"/>
        </w:rPr>
        <w:t>Resultados e Discussão</w:t>
      </w:r>
    </w:p>
    <w:p w:rsidR="00E30CBF" w:rsidRPr="00872429" w:rsidRDefault="00E30CBF" w:rsidP="0099420D">
      <w:pPr>
        <w:spacing w:before="120"/>
        <w:rPr>
          <w:rFonts w:ascii="Arial" w:hAnsi="Arial" w:cs="Arial"/>
          <w:b/>
          <w:sz w:val="24"/>
          <w:szCs w:val="24"/>
        </w:rPr>
        <w:sectPr w:rsidR="00E30CBF" w:rsidRPr="00872429" w:rsidSect="004657A5">
          <w:footerReference w:type="default" r:id="rId10"/>
          <w:footnotePr>
            <w:numFmt w:val="lowerRoman"/>
            <w:numRestart w:val="eachPage"/>
          </w:footnotePr>
          <w:type w:val="continuous"/>
          <w:pgSz w:w="11906" w:h="16838" w:code="9"/>
          <w:pgMar w:top="1134" w:right="1134" w:bottom="1134" w:left="1134" w:header="709" w:footer="709" w:gutter="0"/>
          <w:lnNumType w:countBy="1"/>
          <w:cols w:space="708"/>
          <w:docGrid w:linePitch="360"/>
        </w:sectPr>
      </w:pPr>
    </w:p>
    <w:p w:rsidR="00E30CBF" w:rsidRPr="004657A5" w:rsidRDefault="00E30CBF" w:rsidP="009A6219">
      <w:pPr>
        <w:ind w:firstLine="0"/>
        <w:rPr>
          <w:rFonts w:ascii="Arial" w:hAnsi="Arial" w:cs="Arial"/>
          <w:i/>
          <w:sz w:val="24"/>
          <w:szCs w:val="24"/>
        </w:rPr>
      </w:pPr>
      <w:r w:rsidRPr="004657A5">
        <w:rPr>
          <w:rFonts w:ascii="Arial" w:hAnsi="Arial" w:cs="Arial"/>
          <w:i/>
          <w:sz w:val="24"/>
          <w:szCs w:val="24"/>
        </w:rPr>
        <w:lastRenderedPageBreak/>
        <w:t xml:space="preserve">A exigência regulatória de </w:t>
      </w:r>
      <w:proofErr w:type="spellStart"/>
      <w:r w:rsidRPr="004657A5">
        <w:rPr>
          <w:rFonts w:ascii="Arial" w:hAnsi="Arial" w:cs="Arial"/>
          <w:i/>
          <w:sz w:val="24"/>
          <w:szCs w:val="24"/>
        </w:rPr>
        <w:t>IFAs</w:t>
      </w:r>
      <w:proofErr w:type="spellEnd"/>
      <w:r w:rsidRPr="004657A5">
        <w:rPr>
          <w:rFonts w:ascii="Arial" w:hAnsi="Arial" w:cs="Arial"/>
          <w:i/>
          <w:sz w:val="24"/>
          <w:szCs w:val="24"/>
        </w:rPr>
        <w:t xml:space="preserve"> no Brasil </w:t>
      </w:r>
    </w:p>
    <w:p w:rsidR="00E30CBF" w:rsidRPr="00872429" w:rsidRDefault="00E30CBF" w:rsidP="00E30CBF">
      <w:pPr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>A indústria farmoquímica instalada no Brasil segue a um marco regulatório que</w:t>
      </w:r>
      <w:r w:rsidR="00D31E48" w:rsidRPr="00872429">
        <w:rPr>
          <w:rFonts w:ascii="Arial" w:hAnsi="Arial" w:cs="Arial"/>
          <w:sz w:val="24"/>
          <w:szCs w:val="24"/>
        </w:rPr>
        <w:t>,</w:t>
      </w:r>
      <w:r w:rsidRPr="00872429">
        <w:rPr>
          <w:rFonts w:ascii="Arial" w:hAnsi="Arial" w:cs="Arial"/>
          <w:sz w:val="24"/>
          <w:szCs w:val="24"/>
        </w:rPr>
        <w:t xml:space="preserve"> além da exigência de autorização para o funcionamento da empresa, requer que os fabricantes desses produtos sigam as </w:t>
      </w:r>
      <w:r w:rsidR="00D31E48" w:rsidRPr="00872429">
        <w:rPr>
          <w:rFonts w:ascii="Arial" w:hAnsi="Arial" w:cs="Arial"/>
          <w:sz w:val="24"/>
          <w:szCs w:val="24"/>
        </w:rPr>
        <w:t>B</w:t>
      </w:r>
      <w:r w:rsidRPr="00872429">
        <w:rPr>
          <w:rFonts w:ascii="Arial" w:hAnsi="Arial" w:cs="Arial"/>
          <w:sz w:val="24"/>
          <w:szCs w:val="24"/>
        </w:rPr>
        <w:t xml:space="preserve">oas </w:t>
      </w:r>
      <w:r w:rsidR="00D31E48" w:rsidRPr="00872429">
        <w:rPr>
          <w:rFonts w:ascii="Arial" w:hAnsi="Arial" w:cs="Arial"/>
          <w:sz w:val="24"/>
          <w:szCs w:val="24"/>
        </w:rPr>
        <w:t>P</w:t>
      </w:r>
      <w:r w:rsidRPr="00872429">
        <w:rPr>
          <w:rFonts w:ascii="Arial" w:hAnsi="Arial" w:cs="Arial"/>
          <w:sz w:val="24"/>
          <w:szCs w:val="24"/>
        </w:rPr>
        <w:t xml:space="preserve">ráticas de </w:t>
      </w:r>
      <w:r w:rsidR="00D31E48" w:rsidRPr="00872429">
        <w:rPr>
          <w:rFonts w:ascii="Arial" w:hAnsi="Arial" w:cs="Arial"/>
          <w:sz w:val="24"/>
          <w:szCs w:val="24"/>
        </w:rPr>
        <w:t>F</w:t>
      </w:r>
      <w:r w:rsidRPr="00872429">
        <w:rPr>
          <w:rFonts w:ascii="Arial" w:hAnsi="Arial" w:cs="Arial"/>
          <w:sz w:val="24"/>
          <w:szCs w:val="24"/>
        </w:rPr>
        <w:t>abricação (BPF), estabelecidas pela RDC n° 249/05</w:t>
      </w:r>
      <w:r w:rsidR="00B05D64" w:rsidRPr="00872429">
        <w:rPr>
          <w:rFonts w:ascii="Arial" w:hAnsi="Arial" w:cs="Arial"/>
          <w:sz w:val="24"/>
          <w:szCs w:val="24"/>
        </w:rPr>
        <w:t>(</w:t>
      </w:r>
      <w:r w:rsidR="00133A24" w:rsidRPr="00872429">
        <w:rPr>
          <w:rFonts w:ascii="Arial" w:hAnsi="Arial" w:cs="Arial"/>
          <w:sz w:val="24"/>
          <w:szCs w:val="24"/>
        </w:rPr>
        <w:t>Agência Nacional de Vigilância Sanitária</w:t>
      </w:r>
      <w:r w:rsidR="00B05D64" w:rsidRPr="00872429">
        <w:rPr>
          <w:rFonts w:ascii="Arial" w:hAnsi="Arial" w:cs="Arial"/>
          <w:sz w:val="24"/>
          <w:szCs w:val="24"/>
        </w:rPr>
        <w:t>, 2005)</w:t>
      </w:r>
      <w:r w:rsidR="00EE4E0B" w:rsidRPr="00872429">
        <w:rPr>
          <w:rFonts w:ascii="Arial" w:hAnsi="Arial" w:cs="Arial"/>
          <w:sz w:val="24"/>
          <w:szCs w:val="24"/>
          <w:vertAlign w:val="superscript"/>
        </w:rPr>
        <w:t>11</w:t>
      </w:r>
      <w:r w:rsidRPr="00872429">
        <w:rPr>
          <w:rFonts w:ascii="Arial" w:hAnsi="Arial" w:cs="Arial"/>
          <w:sz w:val="24"/>
          <w:szCs w:val="24"/>
        </w:rPr>
        <w:t>, na expectativa de gerar produtos seguros e de qualidade.</w:t>
      </w:r>
      <w:r w:rsidR="007F1F80" w:rsidRPr="00872429">
        <w:rPr>
          <w:rFonts w:ascii="Arial" w:hAnsi="Arial" w:cs="Arial"/>
          <w:sz w:val="24"/>
          <w:szCs w:val="24"/>
        </w:rPr>
        <w:t xml:space="preserve"> E,</w:t>
      </w:r>
      <w:r w:rsidR="00EE4E0B" w:rsidRPr="00872429">
        <w:rPr>
          <w:rFonts w:ascii="Arial" w:hAnsi="Arial" w:cs="Arial"/>
          <w:sz w:val="24"/>
          <w:szCs w:val="24"/>
        </w:rPr>
        <w:t xml:space="preserve"> </w:t>
      </w:r>
      <w:r w:rsidR="00AD260E" w:rsidRPr="00872429">
        <w:rPr>
          <w:rFonts w:ascii="Arial" w:hAnsi="Arial" w:cs="Arial"/>
          <w:sz w:val="24"/>
          <w:szCs w:val="24"/>
        </w:rPr>
        <w:t>a</w:t>
      </w:r>
      <w:r w:rsidR="007F1F80" w:rsidRPr="00872429">
        <w:rPr>
          <w:rFonts w:ascii="Arial" w:hAnsi="Arial" w:cs="Arial"/>
          <w:sz w:val="24"/>
          <w:szCs w:val="24"/>
        </w:rPr>
        <w:t xml:space="preserve"> partir de 2010, o registro de </w:t>
      </w:r>
      <w:proofErr w:type="spellStart"/>
      <w:r w:rsidR="007F1F80" w:rsidRPr="00872429">
        <w:rPr>
          <w:rFonts w:ascii="Arial" w:hAnsi="Arial" w:cs="Arial"/>
          <w:sz w:val="24"/>
          <w:szCs w:val="24"/>
        </w:rPr>
        <w:t>IFAs</w:t>
      </w:r>
      <w:proofErr w:type="spellEnd"/>
      <w:r w:rsidR="007F1F80" w:rsidRPr="00872429">
        <w:rPr>
          <w:rFonts w:ascii="Arial" w:hAnsi="Arial" w:cs="Arial"/>
          <w:sz w:val="24"/>
          <w:szCs w:val="24"/>
        </w:rPr>
        <w:t xml:space="preserve">. </w:t>
      </w:r>
    </w:p>
    <w:p w:rsidR="00C42798" w:rsidRPr="00872429" w:rsidRDefault="0092364F" w:rsidP="00E30CBF">
      <w:pPr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>Com cerca de 1.000 diferentes fármacos circulando no país, foi necessário limitar o número de produtos a serem registrados numa primeira fase. Assim, a ANVISA publicou, na mesma data da RDC n° 57/09, a Instrução Normativa (IN) n° 15</w:t>
      </w:r>
      <w:r w:rsidR="00B05D64" w:rsidRPr="00872429">
        <w:rPr>
          <w:rFonts w:ascii="Arial" w:hAnsi="Arial" w:cs="Arial"/>
          <w:sz w:val="24"/>
          <w:szCs w:val="24"/>
        </w:rPr>
        <w:t>(</w:t>
      </w:r>
      <w:r w:rsidR="00F46B21" w:rsidRPr="00872429">
        <w:rPr>
          <w:rFonts w:ascii="Arial" w:hAnsi="Arial" w:cs="Arial"/>
          <w:sz w:val="24"/>
          <w:szCs w:val="24"/>
        </w:rPr>
        <w:t>Agência Nacional de Vigilância Sanitária</w:t>
      </w:r>
      <w:r w:rsidR="00B05D64" w:rsidRPr="00872429">
        <w:rPr>
          <w:rFonts w:ascii="Arial" w:hAnsi="Arial" w:cs="Arial"/>
          <w:sz w:val="24"/>
          <w:szCs w:val="24"/>
        </w:rPr>
        <w:t>, 2009)</w:t>
      </w:r>
      <w:r w:rsidR="00EE4E0B" w:rsidRPr="00872429">
        <w:rPr>
          <w:rFonts w:ascii="Arial" w:hAnsi="Arial" w:cs="Arial"/>
          <w:sz w:val="24"/>
          <w:szCs w:val="24"/>
          <w:vertAlign w:val="superscript"/>
        </w:rPr>
        <w:t>12</w:t>
      </w:r>
      <w:r w:rsidR="00A9245C">
        <w:rPr>
          <w:rFonts w:ascii="Arial" w:hAnsi="Arial" w:cs="Arial"/>
          <w:sz w:val="24"/>
          <w:szCs w:val="24"/>
          <w:vertAlign w:val="superscript"/>
        </w:rPr>
        <w:t>,25-26</w:t>
      </w:r>
      <w:r w:rsidRPr="00872429">
        <w:rPr>
          <w:rFonts w:ascii="Arial" w:hAnsi="Arial" w:cs="Arial"/>
          <w:sz w:val="24"/>
          <w:szCs w:val="24"/>
        </w:rPr>
        <w:t xml:space="preserve">, definindo o registro prioritário para 20 fármacos: </w:t>
      </w:r>
      <w:proofErr w:type="spellStart"/>
      <w:r w:rsidRPr="00872429">
        <w:rPr>
          <w:rFonts w:ascii="Arial" w:hAnsi="Arial" w:cs="Arial"/>
          <w:sz w:val="24"/>
          <w:szCs w:val="24"/>
        </w:rPr>
        <w:t>Aciclovir</w:t>
      </w:r>
      <w:proofErr w:type="spellEnd"/>
      <w:r w:rsidRPr="00872429">
        <w:rPr>
          <w:rFonts w:ascii="Arial" w:hAnsi="Arial" w:cs="Arial"/>
          <w:sz w:val="24"/>
          <w:szCs w:val="24"/>
        </w:rPr>
        <w:t xml:space="preserve">, Ampicilina, </w:t>
      </w:r>
      <w:proofErr w:type="spellStart"/>
      <w:r w:rsidRPr="00872429">
        <w:rPr>
          <w:rFonts w:ascii="Arial" w:hAnsi="Arial" w:cs="Arial"/>
          <w:sz w:val="24"/>
          <w:szCs w:val="24"/>
        </w:rPr>
        <w:t>Carbamazepina</w:t>
      </w:r>
      <w:proofErr w:type="spellEnd"/>
      <w:r w:rsidRPr="00872429">
        <w:rPr>
          <w:rFonts w:ascii="Arial" w:hAnsi="Arial" w:cs="Arial"/>
          <w:sz w:val="24"/>
          <w:szCs w:val="24"/>
        </w:rPr>
        <w:t xml:space="preserve">, Carbonato de Lítio, Ciclofosfamida, Ciclosporina, </w:t>
      </w:r>
      <w:proofErr w:type="spellStart"/>
      <w:r w:rsidRPr="00872429">
        <w:rPr>
          <w:rFonts w:ascii="Arial" w:hAnsi="Arial" w:cs="Arial"/>
          <w:sz w:val="24"/>
          <w:szCs w:val="24"/>
        </w:rPr>
        <w:t>Ciprofloxacino</w:t>
      </w:r>
      <w:proofErr w:type="spellEnd"/>
      <w:r w:rsidRPr="00872429">
        <w:rPr>
          <w:rFonts w:ascii="Arial" w:hAnsi="Arial" w:cs="Arial"/>
          <w:sz w:val="24"/>
          <w:szCs w:val="24"/>
        </w:rPr>
        <w:t xml:space="preserve">, Cloridrato de </w:t>
      </w:r>
      <w:proofErr w:type="spellStart"/>
      <w:r w:rsidRPr="00872429">
        <w:rPr>
          <w:rFonts w:ascii="Arial" w:hAnsi="Arial" w:cs="Arial"/>
          <w:sz w:val="24"/>
          <w:szCs w:val="24"/>
        </w:rPr>
        <w:t>Clindamicina</w:t>
      </w:r>
      <w:proofErr w:type="spellEnd"/>
      <w:r w:rsidRPr="008724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72429">
        <w:rPr>
          <w:rFonts w:ascii="Arial" w:hAnsi="Arial" w:cs="Arial"/>
          <w:sz w:val="24"/>
          <w:szCs w:val="24"/>
        </w:rPr>
        <w:t>Clozapina</w:t>
      </w:r>
      <w:proofErr w:type="spellEnd"/>
      <w:r w:rsidRPr="00872429">
        <w:rPr>
          <w:rFonts w:ascii="Arial" w:hAnsi="Arial" w:cs="Arial"/>
          <w:sz w:val="24"/>
          <w:szCs w:val="24"/>
        </w:rPr>
        <w:t xml:space="preserve">, Efavirenz, </w:t>
      </w:r>
      <w:proofErr w:type="spellStart"/>
      <w:r w:rsidRPr="00872429">
        <w:rPr>
          <w:rFonts w:ascii="Arial" w:hAnsi="Arial" w:cs="Arial"/>
          <w:sz w:val="24"/>
          <w:szCs w:val="24"/>
        </w:rPr>
        <w:t>Fenitoína</w:t>
      </w:r>
      <w:proofErr w:type="spellEnd"/>
      <w:r w:rsidRPr="008724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72429">
        <w:rPr>
          <w:rFonts w:ascii="Arial" w:hAnsi="Arial" w:cs="Arial"/>
          <w:sz w:val="24"/>
          <w:szCs w:val="24"/>
        </w:rPr>
        <w:t>Fenitoína</w:t>
      </w:r>
      <w:proofErr w:type="spellEnd"/>
      <w:r w:rsidRPr="00872429">
        <w:rPr>
          <w:rFonts w:ascii="Arial" w:hAnsi="Arial" w:cs="Arial"/>
          <w:sz w:val="24"/>
          <w:szCs w:val="24"/>
        </w:rPr>
        <w:t xml:space="preserve"> Sódica, </w:t>
      </w:r>
      <w:proofErr w:type="spellStart"/>
      <w:r w:rsidRPr="00872429">
        <w:rPr>
          <w:rFonts w:ascii="Arial" w:hAnsi="Arial" w:cs="Arial"/>
          <w:sz w:val="24"/>
          <w:szCs w:val="24"/>
        </w:rPr>
        <w:t>Lamivudina</w:t>
      </w:r>
      <w:proofErr w:type="spellEnd"/>
      <w:r w:rsidRPr="008724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72429">
        <w:rPr>
          <w:rFonts w:ascii="Arial" w:hAnsi="Arial" w:cs="Arial"/>
          <w:sz w:val="24"/>
          <w:szCs w:val="24"/>
        </w:rPr>
        <w:t>Metotrexato</w:t>
      </w:r>
      <w:proofErr w:type="spellEnd"/>
      <w:r w:rsidRPr="008724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72429">
        <w:rPr>
          <w:rFonts w:ascii="Arial" w:hAnsi="Arial" w:cs="Arial"/>
          <w:sz w:val="24"/>
          <w:szCs w:val="24"/>
        </w:rPr>
        <w:t>Nevirapina</w:t>
      </w:r>
      <w:proofErr w:type="spellEnd"/>
      <w:r w:rsidRPr="008724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72429">
        <w:rPr>
          <w:rFonts w:ascii="Arial" w:hAnsi="Arial" w:cs="Arial"/>
          <w:sz w:val="24"/>
          <w:szCs w:val="24"/>
        </w:rPr>
        <w:t>Penicilamina</w:t>
      </w:r>
      <w:proofErr w:type="spellEnd"/>
      <w:r w:rsidRPr="00872429">
        <w:rPr>
          <w:rFonts w:ascii="Arial" w:hAnsi="Arial" w:cs="Arial"/>
          <w:sz w:val="24"/>
          <w:szCs w:val="24"/>
        </w:rPr>
        <w:t xml:space="preserve">, Rifampicina, </w:t>
      </w:r>
      <w:proofErr w:type="spellStart"/>
      <w:r w:rsidRPr="00872429">
        <w:rPr>
          <w:rFonts w:ascii="Arial" w:hAnsi="Arial" w:cs="Arial"/>
          <w:sz w:val="24"/>
          <w:szCs w:val="24"/>
        </w:rPr>
        <w:t>Ritonavi</w:t>
      </w:r>
      <w:r w:rsidR="00AD260E" w:rsidRPr="00872429">
        <w:rPr>
          <w:rFonts w:ascii="Arial" w:hAnsi="Arial" w:cs="Arial"/>
          <w:sz w:val="24"/>
          <w:szCs w:val="24"/>
        </w:rPr>
        <w:t>r</w:t>
      </w:r>
      <w:proofErr w:type="spellEnd"/>
      <w:r w:rsidR="00AD260E" w:rsidRPr="00872429">
        <w:rPr>
          <w:rFonts w:ascii="Arial" w:hAnsi="Arial" w:cs="Arial"/>
          <w:sz w:val="24"/>
          <w:szCs w:val="24"/>
        </w:rPr>
        <w:t>, Tiabendazol e Zidovudina. Ess</w:t>
      </w:r>
      <w:r w:rsidRPr="00872429">
        <w:rPr>
          <w:rFonts w:ascii="Arial" w:hAnsi="Arial" w:cs="Arial"/>
          <w:sz w:val="24"/>
          <w:szCs w:val="24"/>
        </w:rPr>
        <w:t xml:space="preserve">es fármacos foram escolhidos segundo 10 critérios definidos pela ANVISA e apresentados na RDC n° 57/09. </w:t>
      </w:r>
    </w:p>
    <w:p w:rsidR="00E30CBF" w:rsidRPr="00872429" w:rsidRDefault="0092364F" w:rsidP="00E30CBF">
      <w:pPr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>As exigências sanitárias da RDC n° 57/09 seguem os mesmos padrões técnicos daqueles que são praticados pelos Estados Unidos (EUA</w:t>
      </w:r>
      <w:proofErr w:type="gramStart"/>
      <w:r w:rsidRPr="00872429">
        <w:rPr>
          <w:rFonts w:ascii="Arial" w:hAnsi="Arial" w:cs="Arial"/>
          <w:sz w:val="24"/>
          <w:szCs w:val="24"/>
        </w:rPr>
        <w:t>)</w:t>
      </w:r>
      <w:r w:rsidR="00A36211" w:rsidRPr="00872429"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 w:rsidR="00A36211" w:rsidRPr="00872429">
        <w:rPr>
          <w:rFonts w:ascii="Arial" w:hAnsi="Arial" w:cs="Arial"/>
          <w:sz w:val="24"/>
          <w:szCs w:val="24"/>
        </w:rPr>
        <w:t>F</w:t>
      </w:r>
      <w:r w:rsidR="00520C95" w:rsidRPr="00872429">
        <w:rPr>
          <w:rFonts w:ascii="Arial" w:hAnsi="Arial" w:cs="Arial"/>
          <w:sz w:val="24"/>
          <w:szCs w:val="24"/>
        </w:rPr>
        <w:t>ood</w:t>
      </w:r>
      <w:proofErr w:type="spellEnd"/>
      <w:r w:rsidR="00520C95" w:rsidRPr="008724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C95" w:rsidRPr="00872429">
        <w:rPr>
          <w:rFonts w:ascii="Arial" w:hAnsi="Arial" w:cs="Arial"/>
          <w:sz w:val="24"/>
          <w:szCs w:val="24"/>
        </w:rPr>
        <w:t>and</w:t>
      </w:r>
      <w:proofErr w:type="spellEnd"/>
      <w:r w:rsidR="00520C95" w:rsidRPr="008724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6211" w:rsidRPr="00872429">
        <w:rPr>
          <w:rFonts w:ascii="Arial" w:hAnsi="Arial" w:cs="Arial"/>
          <w:sz w:val="24"/>
          <w:szCs w:val="24"/>
        </w:rPr>
        <w:t>D</w:t>
      </w:r>
      <w:r w:rsidR="00520C95" w:rsidRPr="00872429">
        <w:rPr>
          <w:rFonts w:ascii="Arial" w:hAnsi="Arial" w:cs="Arial"/>
          <w:sz w:val="24"/>
          <w:szCs w:val="24"/>
        </w:rPr>
        <w:t>rug</w:t>
      </w:r>
      <w:proofErr w:type="spellEnd"/>
      <w:r w:rsidR="00520C95" w:rsidRPr="008724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6211" w:rsidRPr="00872429">
        <w:rPr>
          <w:rFonts w:ascii="Arial" w:hAnsi="Arial" w:cs="Arial"/>
          <w:sz w:val="24"/>
          <w:szCs w:val="24"/>
        </w:rPr>
        <w:t>A</w:t>
      </w:r>
      <w:r w:rsidR="00520C95" w:rsidRPr="00872429">
        <w:rPr>
          <w:rFonts w:ascii="Arial" w:hAnsi="Arial" w:cs="Arial"/>
          <w:sz w:val="24"/>
          <w:szCs w:val="24"/>
        </w:rPr>
        <w:t>dministration</w:t>
      </w:r>
      <w:proofErr w:type="spellEnd"/>
      <w:r w:rsidR="00A36211" w:rsidRPr="00872429">
        <w:rPr>
          <w:rFonts w:ascii="Arial" w:hAnsi="Arial" w:cs="Arial"/>
          <w:sz w:val="24"/>
          <w:szCs w:val="24"/>
        </w:rPr>
        <w:t>, 2012)</w:t>
      </w:r>
      <w:r w:rsidR="00EE4E0B" w:rsidRPr="00872429">
        <w:rPr>
          <w:rFonts w:ascii="Arial" w:hAnsi="Arial" w:cs="Arial"/>
          <w:sz w:val="24"/>
          <w:szCs w:val="24"/>
          <w:vertAlign w:val="superscript"/>
        </w:rPr>
        <w:t>13</w:t>
      </w:r>
      <w:r w:rsidR="00A36211" w:rsidRPr="00872429">
        <w:rPr>
          <w:rFonts w:ascii="Arial" w:hAnsi="Arial" w:cs="Arial"/>
          <w:sz w:val="24"/>
          <w:szCs w:val="24"/>
        </w:rPr>
        <w:t xml:space="preserve"> </w:t>
      </w:r>
      <w:r w:rsidRPr="00872429">
        <w:rPr>
          <w:rFonts w:ascii="Arial" w:hAnsi="Arial" w:cs="Arial"/>
          <w:sz w:val="24"/>
          <w:szCs w:val="24"/>
        </w:rPr>
        <w:t>e pelos países da União Europeia (UE)</w:t>
      </w:r>
      <w:r w:rsidR="00A36211" w:rsidRPr="00872429">
        <w:rPr>
          <w:rFonts w:ascii="Arial" w:hAnsi="Arial" w:cs="Arial"/>
          <w:sz w:val="24"/>
          <w:szCs w:val="24"/>
        </w:rPr>
        <w:t>(</w:t>
      </w:r>
      <w:proofErr w:type="spellStart"/>
      <w:r w:rsidR="00326AE1" w:rsidRPr="00872429">
        <w:rPr>
          <w:rFonts w:ascii="Arial" w:eastAsia="Times New Roman" w:hAnsi="Arial" w:cs="Arial"/>
          <w:sz w:val="24"/>
          <w:szCs w:val="24"/>
          <w:lang w:eastAsia="pt-BR"/>
        </w:rPr>
        <w:t>European</w:t>
      </w:r>
      <w:proofErr w:type="spellEnd"/>
      <w:r w:rsidR="00326AE1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Medicines </w:t>
      </w:r>
      <w:proofErr w:type="spellStart"/>
      <w:r w:rsidR="00326AE1" w:rsidRPr="00872429">
        <w:rPr>
          <w:rFonts w:ascii="Arial" w:eastAsia="Times New Roman" w:hAnsi="Arial" w:cs="Arial"/>
          <w:sz w:val="24"/>
          <w:szCs w:val="24"/>
          <w:lang w:eastAsia="pt-BR"/>
        </w:rPr>
        <w:t>Agency</w:t>
      </w:r>
      <w:proofErr w:type="spellEnd"/>
      <w:r w:rsidR="00A36211" w:rsidRPr="00872429">
        <w:rPr>
          <w:rFonts w:ascii="Arial" w:hAnsi="Arial" w:cs="Arial"/>
          <w:sz w:val="24"/>
          <w:szCs w:val="24"/>
        </w:rPr>
        <w:t>, 2012)</w:t>
      </w:r>
      <w:r w:rsidR="00EE4E0B" w:rsidRPr="00872429">
        <w:rPr>
          <w:rFonts w:ascii="Arial" w:hAnsi="Arial" w:cs="Arial"/>
          <w:sz w:val="24"/>
          <w:szCs w:val="24"/>
          <w:vertAlign w:val="superscript"/>
        </w:rPr>
        <w:t>14</w:t>
      </w:r>
      <w:r w:rsidRPr="00872429">
        <w:rPr>
          <w:rFonts w:ascii="Arial" w:hAnsi="Arial" w:cs="Arial"/>
          <w:sz w:val="24"/>
          <w:szCs w:val="24"/>
        </w:rPr>
        <w:t xml:space="preserve">, </w:t>
      </w:r>
      <w:r w:rsidRPr="00872429">
        <w:rPr>
          <w:rFonts w:ascii="Arial" w:hAnsi="Arial" w:cs="Arial"/>
          <w:sz w:val="24"/>
          <w:szCs w:val="24"/>
        </w:rPr>
        <w:lastRenderedPageBreak/>
        <w:t>colocando o Brasil em sintonia com os mercados mais evoluídos e exigentes nessa matéria.</w:t>
      </w:r>
    </w:p>
    <w:p w:rsidR="00E30CBF" w:rsidRPr="004657A5" w:rsidRDefault="00E30CBF" w:rsidP="009A6219">
      <w:pPr>
        <w:spacing w:before="120"/>
        <w:ind w:firstLine="0"/>
        <w:rPr>
          <w:rFonts w:ascii="Arial" w:hAnsi="Arial" w:cs="Arial"/>
          <w:i/>
          <w:sz w:val="24"/>
          <w:szCs w:val="24"/>
        </w:rPr>
      </w:pPr>
      <w:r w:rsidRPr="004657A5">
        <w:rPr>
          <w:rFonts w:ascii="Arial" w:hAnsi="Arial" w:cs="Arial"/>
          <w:i/>
          <w:sz w:val="24"/>
          <w:szCs w:val="24"/>
        </w:rPr>
        <w:t xml:space="preserve">Análise dos critérios e dos vinte </w:t>
      </w:r>
      <w:proofErr w:type="spellStart"/>
      <w:r w:rsidRPr="004657A5">
        <w:rPr>
          <w:rFonts w:ascii="Arial" w:hAnsi="Arial" w:cs="Arial"/>
          <w:i/>
          <w:sz w:val="24"/>
          <w:szCs w:val="24"/>
        </w:rPr>
        <w:t>IFAs</w:t>
      </w:r>
      <w:proofErr w:type="spellEnd"/>
      <w:r w:rsidRPr="004657A5">
        <w:rPr>
          <w:rFonts w:ascii="Arial" w:hAnsi="Arial" w:cs="Arial"/>
          <w:i/>
          <w:sz w:val="24"/>
          <w:szCs w:val="24"/>
        </w:rPr>
        <w:t xml:space="preserve"> definidos como prioritários para o registro </w:t>
      </w:r>
    </w:p>
    <w:p w:rsidR="00E30CBF" w:rsidRPr="00872429" w:rsidRDefault="00E30CBF" w:rsidP="00E30CBF">
      <w:pPr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 xml:space="preserve">Os critérios estabelecidos pela ANVISA para </w:t>
      </w:r>
      <w:r w:rsidR="00F3005F" w:rsidRPr="00872429">
        <w:rPr>
          <w:rFonts w:ascii="Arial" w:hAnsi="Arial" w:cs="Arial"/>
          <w:sz w:val="24"/>
          <w:szCs w:val="24"/>
        </w:rPr>
        <w:t>compor</w:t>
      </w:r>
      <w:r w:rsidRPr="00872429">
        <w:rPr>
          <w:rFonts w:ascii="Arial" w:hAnsi="Arial" w:cs="Arial"/>
          <w:sz w:val="24"/>
          <w:szCs w:val="24"/>
        </w:rPr>
        <w:t xml:space="preserve"> a lista dos 20 </w:t>
      </w:r>
      <w:proofErr w:type="spellStart"/>
      <w:r w:rsidRPr="00872429">
        <w:rPr>
          <w:rFonts w:ascii="Arial" w:hAnsi="Arial" w:cs="Arial"/>
          <w:sz w:val="24"/>
          <w:szCs w:val="24"/>
        </w:rPr>
        <w:t>IFAs</w:t>
      </w:r>
      <w:proofErr w:type="spellEnd"/>
      <w:r w:rsidR="00EE4E0B" w:rsidRPr="00872429">
        <w:rPr>
          <w:rFonts w:ascii="Arial" w:hAnsi="Arial" w:cs="Arial"/>
          <w:sz w:val="24"/>
          <w:szCs w:val="24"/>
        </w:rPr>
        <w:t xml:space="preserve"> </w:t>
      </w:r>
      <w:r w:rsidRPr="00872429">
        <w:rPr>
          <w:rFonts w:ascii="Arial" w:hAnsi="Arial" w:cs="Arial"/>
          <w:sz w:val="24"/>
          <w:szCs w:val="24"/>
        </w:rPr>
        <w:t>eleitos</w:t>
      </w:r>
      <w:r w:rsidR="00AD260E" w:rsidRPr="00872429">
        <w:rPr>
          <w:rFonts w:ascii="Arial" w:hAnsi="Arial" w:cs="Arial"/>
          <w:sz w:val="24"/>
          <w:szCs w:val="24"/>
        </w:rPr>
        <w:t xml:space="preserve"> como</w:t>
      </w:r>
      <w:r w:rsidR="00EE4E0B" w:rsidRPr="00872429">
        <w:rPr>
          <w:rFonts w:ascii="Arial" w:hAnsi="Arial" w:cs="Arial"/>
          <w:sz w:val="24"/>
          <w:szCs w:val="24"/>
        </w:rPr>
        <w:t xml:space="preserve"> </w:t>
      </w:r>
      <w:r w:rsidR="00F3005F" w:rsidRPr="00872429">
        <w:rPr>
          <w:rFonts w:ascii="Arial" w:hAnsi="Arial" w:cs="Arial"/>
          <w:sz w:val="24"/>
          <w:szCs w:val="24"/>
        </w:rPr>
        <w:t xml:space="preserve">prioritários </w:t>
      </w:r>
      <w:r w:rsidRPr="00872429">
        <w:rPr>
          <w:rFonts w:ascii="Arial" w:hAnsi="Arial" w:cs="Arial"/>
          <w:sz w:val="24"/>
          <w:szCs w:val="24"/>
        </w:rPr>
        <w:t>foram os seguintes: I – baixo índice terapêutico; II – produzidos no país; III – estratégicos para o Ministério da Saúde (MS); IV – de programas estratégicos do MS; V – da lista</w:t>
      </w:r>
      <w:r w:rsidR="00C861EF" w:rsidRPr="00872429">
        <w:rPr>
          <w:rFonts w:ascii="Arial" w:hAnsi="Arial" w:cs="Arial"/>
          <w:sz w:val="24"/>
          <w:szCs w:val="24"/>
        </w:rPr>
        <w:t xml:space="preserve"> da Relação Nacional de Medicamentos Essenciais (</w:t>
      </w:r>
      <w:r w:rsidRPr="00872429">
        <w:rPr>
          <w:rFonts w:ascii="Arial" w:hAnsi="Arial" w:cs="Arial"/>
          <w:sz w:val="24"/>
          <w:szCs w:val="24"/>
        </w:rPr>
        <w:t>RENAME</w:t>
      </w:r>
      <w:r w:rsidR="00C861EF" w:rsidRPr="00872429">
        <w:rPr>
          <w:rFonts w:ascii="Arial" w:hAnsi="Arial" w:cs="Arial"/>
          <w:sz w:val="24"/>
          <w:szCs w:val="24"/>
        </w:rPr>
        <w:t>)</w:t>
      </w:r>
      <w:r w:rsidRPr="00872429">
        <w:rPr>
          <w:rFonts w:ascii="Arial" w:hAnsi="Arial" w:cs="Arial"/>
          <w:sz w:val="24"/>
          <w:szCs w:val="24"/>
        </w:rPr>
        <w:t xml:space="preserve">; VI – de dispensação em caráter excepcional; VII – para doenças negligenciadas; VIII – </w:t>
      </w:r>
      <w:proofErr w:type="spellStart"/>
      <w:r w:rsidRPr="00872429">
        <w:rPr>
          <w:rFonts w:ascii="Arial" w:hAnsi="Arial" w:cs="Arial"/>
          <w:sz w:val="24"/>
          <w:szCs w:val="24"/>
        </w:rPr>
        <w:t>antineoplásicos</w:t>
      </w:r>
      <w:proofErr w:type="spellEnd"/>
      <w:r w:rsidRPr="00872429">
        <w:rPr>
          <w:rFonts w:ascii="Arial" w:hAnsi="Arial" w:cs="Arial"/>
          <w:sz w:val="24"/>
          <w:szCs w:val="24"/>
        </w:rPr>
        <w:t>, antibióticos e imunossupressores; IX - genéricos; e X – para atenção básica à saúde.</w:t>
      </w:r>
    </w:p>
    <w:p w:rsidR="00E30CBF" w:rsidRPr="00872429" w:rsidRDefault="00E30CBF" w:rsidP="00E30CBF">
      <w:pPr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 xml:space="preserve">Foi conduzida uma análise crítica à primeira listagem dos 20 </w:t>
      </w:r>
      <w:proofErr w:type="spellStart"/>
      <w:r w:rsidRPr="00872429">
        <w:rPr>
          <w:rFonts w:ascii="Arial" w:hAnsi="Arial" w:cs="Arial"/>
          <w:sz w:val="24"/>
          <w:szCs w:val="24"/>
        </w:rPr>
        <w:t>IFAs</w:t>
      </w:r>
      <w:proofErr w:type="spellEnd"/>
      <w:r w:rsidRPr="00872429">
        <w:rPr>
          <w:rFonts w:ascii="Arial" w:hAnsi="Arial" w:cs="Arial"/>
          <w:sz w:val="24"/>
          <w:szCs w:val="24"/>
        </w:rPr>
        <w:t xml:space="preserve"> com o objetivo de verificar </w:t>
      </w:r>
      <w:r w:rsidR="00AD260E" w:rsidRPr="00872429">
        <w:rPr>
          <w:rFonts w:ascii="Arial" w:hAnsi="Arial" w:cs="Arial"/>
          <w:sz w:val="24"/>
          <w:szCs w:val="24"/>
        </w:rPr>
        <w:t xml:space="preserve">em quantos critérios estabelecidos pela ANVISA para priorização, enquadravam-se os </w:t>
      </w:r>
      <w:proofErr w:type="spellStart"/>
      <w:r w:rsidR="00AD260E" w:rsidRPr="00872429">
        <w:rPr>
          <w:rFonts w:ascii="Arial" w:hAnsi="Arial" w:cs="Arial"/>
          <w:sz w:val="24"/>
          <w:szCs w:val="24"/>
        </w:rPr>
        <w:t>IFAs</w:t>
      </w:r>
      <w:proofErr w:type="spellEnd"/>
      <w:r w:rsidR="00AD260E" w:rsidRPr="00872429">
        <w:rPr>
          <w:rFonts w:ascii="Arial" w:hAnsi="Arial" w:cs="Arial"/>
          <w:sz w:val="24"/>
          <w:szCs w:val="24"/>
        </w:rPr>
        <w:t xml:space="preserve"> elencados na IN nº 15/09.</w:t>
      </w:r>
      <w:r w:rsidR="00EE4E0B" w:rsidRPr="00872429">
        <w:rPr>
          <w:rFonts w:ascii="Arial" w:hAnsi="Arial" w:cs="Arial"/>
          <w:sz w:val="24"/>
          <w:szCs w:val="24"/>
        </w:rPr>
        <w:t xml:space="preserve"> </w:t>
      </w:r>
      <w:r w:rsidRPr="00872429">
        <w:rPr>
          <w:rFonts w:ascii="Arial" w:hAnsi="Arial" w:cs="Arial"/>
          <w:sz w:val="24"/>
          <w:szCs w:val="24"/>
        </w:rPr>
        <w:t>Essa análise levou à construção de uma matriz de correlação, que</w:t>
      </w:r>
      <w:r w:rsidR="00C42798" w:rsidRPr="00872429">
        <w:rPr>
          <w:rFonts w:ascii="Arial" w:hAnsi="Arial" w:cs="Arial"/>
          <w:sz w:val="24"/>
          <w:szCs w:val="24"/>
        </w:rPr>
        <w:t xml:space="preserve"> distribuiu os 20 </w:t>
      </w:r>
      <w:proofErr w:type="spellStart"/>
      <w:r w:rsidR="00C42798" w:rsidRPr="00872429">
        <w:rPr>
          <w:rFonts w:ascii="Arial" w:hAnsi="Arial" w:cs="Arial"/>
          <w:sz w:val="24"/>
          <w:szCs w:val="24"/>
        </w:rPr>
        <w:t>IFAs</w:t>
      </w:r>
      <w:proofErr w:type="spellEnd"/>
      <w:r w:rsidR="00C42798" w:rsidRPr="00872429">
        <w:rPr>
          <w:rFonts w:ascii="Arial" w:hAnsi="Arial" w:cs="Arial"/>
          <w:sz w:val="24"/>
          <w:szCs w:val="24"/>
        </w:rPr>
        <w:t xml:space="preserve"> pelos 10 critérios estabelecidos</w:t>
      </w:r>
      <w:r w:rsidRPr="00872429">
        <w:rPr>
          <w:rFonts w:ascii="Arial" w:hAnsi="Arial" w:cs="Arial"/>
          <w:sz w:val="24"/>
          <w:szCs w:val="24"/>
        </w:rPr>
        <w:t xml:space="preserve">. </w:t>
      </w:r>
      <w:r w:rsidR="001E06C1" w:rsidRPr="00872429">
        <w:rPr>
          <w:rFonts w:ascii="Arial" w:hAnsi="Arial" w:cs="Arial"/>
          <w:sz w:val="24"/>
          <w:szCs w:val="24"/>
        </w:rPr>
        <w:t xml:space="preserve">Dessa distribuição verificou-se que nenhum </w:t>
      </w:r>
      <w:r w:rsidRPr="00872429">
        <w:rPr>
          <w:rFonts w:ascii="Arial" w:hAnsi="Arial" w:cs="Arial"/>
          <w:sz w:val="24"/>
          <w:szCs w:val="24"/>
        </w:rPr>
        <w:t xml:space="preserve">fármaco ficou sem preencher pelo menos um dos 10 critérios, como era de se esperar. </w:t>
      </w:r>
      <w:r w:rsidR="001E06C1" w:rsidRPr="00872429">
        <w:rPr>
          <w:rFonts w:ascii="Arial" w:hAnsi="Arial" w:cs="Arial"/>
          <w:sz w:val="24"/>
          <w:szCs w:val="24"/>
        </w:rPr>
        <w:t xml:space="preserve">Dos 20 </w:t>
      </w:r>
      <w:proofErr w:type="spellStart"/>
      <w:r w:rsidR="001E06C1" w:rsidRPr="00872429">
        <w:rPr>
          <w:rFonts w:ascii="Arial" w:hAnsi="Arial" w:cs="Arial"/>
          <w:sz w:val="24"/>
          <w:szCs w:val="24"/>
        </w:rPr>
        <w:t>IFAs</w:t>
      </w:r>
      <w:proofErr w:type="spellEnd"/>
      <w:r w:rsidR="001E06C1" w:rsidRPr="00872429">
        <w:rPr>
          <w:rFonts w:ascii="Arial" w:hAnsi="Arial" w:cs="Arial"/>
          <w:sz w:val="24"/>
          <w:szCs w:val="24"/>
        </w:rPr>
        <w:t xml:space="preserve"> investigados,</w:t>
      </w:r>
      <w:r w:rsidRPr="00872429">
        <w:rPr>
          <w:rFonts w:ascii="Arial" w:hAnsi="Arial" w:cs="Arial"/>
          <w:sz w:val="24"/>
          <w:szCs w:val="24"/>
        </w:rPr>
        <w:t xml:space="preserve"> 80% enquadraram-se nas faixas de quatro a seis critérios, com destaque para cinco fármacos – 25% do todo – que se </w:t>
      </w:r>
      <w:proofErr w:type="gramStart"/>
      <w:r w:rsidRPr="00872429">
        <w:rPr>
          <w:rFonts w:ascii="Arial" w:hAnsi="Arial" w:cs="Arial"/>
          <w:sz w:val="24"/>
          <w:szCs w:val="24"/>
        </w:rPr>
        <w:t>enquadram</w:t>
      </w:r>
      <w:proofErr w:type="gramEnd"/>
      <w:r w:rsidRPr="00872429">
        <w:rPr>
          <w:rFonts w:ascii="Arial" w:hAnsi="Arial" w:cs="Arial"/>
          <w:sz w:val="24"/>
          <w:szCs w:val="24"/>
        </w:rPr>
        <w:t xml:space="preserve"> em seis. </w:t>
      </w:r>
    </w:p>
    <w:p w:rsidR="00E30CBF" w:rsidRPr="00872429" w:rsidRDefault="000E7DC0" w:rsidP="00E30CBF">
      <w:pPr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>Ess</w:t>
      </w:r>
      <w:r w:rsidR="001E06C1" w:rsidRPr="00872429">
        <w:rPr>
          <w:rFonts w:ascii="Arial" w:hAnsi="Arial" w:cs="Arial"/>
          <w:sz w:val="24"/>
          <w:szCs w:val="24"/>
        </w:rPr>
        <w:t xml:space="preserve">a matriz ainda permitiu analisar o número de fármacos que preencheram cada um dos 10 critérios. </w:t>
      </w:r>
      <w:r w:rsidR="00A41FA9" w:rsidRPr="00872429">
        <w:rPr>
          <w:rFonts w:ascii="Arial" w:hAnsi="Arial" w:cs="Arial"/>
          <w:sz w:val="24"/>
          <w:szCs w:val="24"/>
        </w:rPr>
        <w:t>O</w:t>
      </w:r>
      <w:r w:rsidR="00EE4E0B" w:rsidRPr="00872429">
        <w:rPr>
          <w:rFonts w:ascii="Arial" w:hAnsi="Arial" w:cs="Arial"/>
          <w:sz w:val="24"/>
          <w:szCs w:val="24"/>
        </w:rPr>
        <w:t xml:space="preserve"> </w:t>
      </w:r>
      <w:r w:rsidR="00AC4343" w:rsidRPr="00872429">
        <w:rPr>
          <w:rFonts w:ascii="Arial" w:hAnsi="Arial" w:cs="Arial"/>
          <w:sz w:val="24"/>
          <w:szCs w:val="24"/>
        </w:rPr>
        <w:t>Gráfico</w:t>
      </w:r>
      <w:r w:rsidR="00E30CBF" w:rsidRPr="00872429">
        <w:rPr>
          <w:rFonts w:ascii="Arial" w:hAnsi="Arial" w:cs="Arial"/>
          <w:sz w:val="24"/>
          <w:szCs w:val="24"/>
        </w:rPr>
        <w:t>1, a seguir, apresenta a distribuição dos 20 fármacos por tipo de critério.</w:t>
      </w:r>
    </w:p>
    <w:p w:rsidR="00E30CBF" w:rsidRPr="00872429" w:rsidRDefault="00E30CBF" w:rsidP="00E30CBF">
      <w:pPr>
        <w:rPr>
          <w:rFonts w:ascii="Arial" w:hAnsi="Arial" w:cs="Arial"/>
          <w:sz w:val="24"/>
          <w:szCs w:val="24"/>
        </w:rPr>
        <w:sectPr w:rsidR="00E30CBF" w:rsidRPr="00872429" w:rsidSect="004657A5">
          <w:type w:val="continuous"/>
          <w:pgSz w:w="11906" w:h="16838"/>
          <w:pgMar w:top="1134" w:right="1134" w:bottom="1134" w:left="1134" w:header="709" w:footer="709" w:gutter="0"/>
          <w:lnNumType w:countBy="1"/>
          <w:cols w:space="708"/>
          <w:docGrid w:linePitch="360"/>
        </w:sectPr>
      </w:pPr>
    </w:p>
    <w:p w:rsidR="009319CB" w:rsidRPr="00872429" w:rsidRDefault="009319CB" w:rsidP="009319CB">
      <w:pPr>
        <w:jc w:val="center"/>
        <w:rPr>
          <w:rFonts w:ascii="Arial" w:hAnsi="Arial" w:cs="Arial"/>
          <w:sz w:val="24"/>
          <w:szCs w:val="24"/>
        </w:rPr>
      </w:pPr>
    </w:p>
    <w:p w:rsidR="009319CB" w:rsidRPr="00E30CBF" w:rsidRDefault="009319CB" w:rsidP="009319CB">
      <w:pPr>
        <w:jc w:val="center"/>
        <w:rPr>
          <w:sz w:val="22"/>
        </w:rPr>
      </w:pPr>
      <w:r>
        <w:rPr>
          <w:noProof/>
          <w:sz w:val="22"/>
          <w:lang w:eastAsia="pt-BR"/>
        </w:rPr>
        <w:drawing>
          <wp:inline distT="0" distB="0" distL="0" distR="0">
            <wp:extent cx="4142232" cy="2335911"/>
            <wp:effectExtent l="0" t="0" r="0" b="7620"/>
            <wp:docPr id="2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D6D1B" w:rsidRDefault="009319CB" w:rsidP="009319CB">
      <w:pPr>
        <w:spacing w:line="240" w:lineRule="auto"/>
        <w:rPr>
          <w:sz w:val="22"/>
        </w:rPr>
      </w:pPr>
      <w:r w:rsidRPr="00E30CBF">
        <w:rPr>
          <w:sz w:val="22"/>
        </w:rPr>
        <w:t xml:space="preserve">              </w:t>
      </w:r>
      <w:r>
        <w:rPr>
          <w:sz w:val="22"/>
        </w:rPr>
        <w:tab/>
        <w:t xml:space="preserve">    </w:t>
      </w:r>
      <w:r w:rsidR="005D6D1B" w:rsidRPr="009319CB">
        <w:rPr>
          <w:rFonts w:ascii="Arial" w:hAnsi="Arial" w:cs="Arial"/>
          <w:sz w:val="22"/>
        </w:rPr>
        <w:t>Gráfico 1 - Número de fármacos da IN n° 15/09 por tipo de critério</w:t>
      </w:r>
    </w:p>
    <w:p w:rsidR="005D6D1B" w:rsidRPr="005D6D1B" w:rsidRDefault="005D6D1B" w:rsidP="005D6D1B">
      <w:pPr>
        <w:spacing w:line="240" w:lineRule="auto"/>
        <w:ind w:left="1416" w:firstLine="0"/>
        <w:rPr>
          <w:rFonts w:ascii="Arial" w:hAnsi="Arial" w:cs="Arial"/>
          <w:sz w:val="10"/>
        </w:rPr>
      </w:pPr>
      <w:r>
        <w:rPr>
          <w:rFonts w:ascii="Arial" w:hAnsi="Arial" w:cs="Arial"/>
          <w:sz w:val="18"/>
        </w:rPr>
        <w:t xml:space="preserve">       </w:t>
      </w:r>
    </w:p>
    <w:p w:rsidR="009319CB" w:rsidRDefault="005D6D1B" w:rsidP="005D6D1B">
      <w:pPr>
        <w:spacing w:line="240" w:lineRule="auto"/>
        <w:ind w:left="1416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</w:t>
      </w:r>
      <w:r w:rsidR="009319CB" w:rsidRPr="009319CB">
        <w:rPr>
          <w:rFonts w:ascii="Arial" w:hAnsi="Arial" w:cs="Arial"/>
          <w:sz w:val="18"/>
        </w:rPr>
        <w:t>Fonte: Elaboração própria</w:t>
      </w:r>
    </w:p>
    <w:p w:rsidR="00672285" w:rsidRDefault="00672285" w:rsidP="005D6D1B">
      <w:pPr>
        <w:spacing w:line="240" w:lineRule="auto"/>
        <w:ind w:left="1416" w:firstLine="0"/>
        <w:rPr>
          <w:rFonts w:ascii="Arial" w:hAnsi="Arial" w:cs="Arial"/>
          <w:sz w:val="18"/>
        </w:rPr>
      </w:pPr>
    </w:p>
    <w:p w:rsidR="002C30B5" w:rsidRDefault="002C30B5" w:rsidP="00672285">
      <w:pPr>
        <w:spacing w:before="120" w:line="240" w:lineRule="auto"/>
        <w:ind w:firstLine="0"/>
        <w:rPr>
          <w:rFonts w:ascii="Arial" w:hAnsi="Arial" w:cs="Arial"/>
          <w:sz w:val="18"/>
        </w:rPr>
      </w:pPr>
    </w:p>
    <w:p w:rsidR="00672285" w:rsidRDefault="00672285" w:rsidP="00672285">
      <w:pPr>
        <w:spacing w:before="120" w:line="240" w:lineRule="auto"/>
        <w:ind w:firstLine="0"/>
        <w:rPr>
          <w:rFonts w:ascii="Arial" w:hAnsi="Arial" w:cs="Arial"/>
          <w:sz w:val="18"/>
        </w:rPr>
      </w:pPr>
    </w:p>
    <w:p w:rsidR="00672285" w:rsidRPr="007A5981" w:rsidRDefault="00672285" w:rsidP="00672285">
      <w:pPr>
        <w:spacing w:before="120" w:line="240" w:lineRule="auto"/>
        <w:ind w:firstLine="0"/>
        <w:rPr>
          <w:rFonts w:ascii="Arial" w:hAnsi="Arial" w:cs="Arial"/>
          <w:color w:val="FF0000"/>
          <w:sz w:val="22"/>
        </w:rPr>
        <w:sectPr w:rsidR="00672285" w:rsidRPr="007A5981" w:rsidSect="00D31E48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E30CBF" w:rsidRPr="00872429" w:rsidRDefault="00AC4343" w:rsidP="00E30CBF">
      <w:pPr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lastRenderedPageBreak/>
        <w:t>O Gráfico</w:t>
      </w:r>
      <w:r w:rsidR="00066E5D" w:rsidRPr="00872429">
        <w:rPr>
          <w:rFonts w:ascii="Arial" w:hAnsi="Arial" w:cs="Arial"/>
          <w:sz w:val="24"/>
        </w:rPr>
        <w:t xml:space="preserve"> </w:t>
      </w:r>
      <w:proofErr w:type="gramStart"/>
      <w:r w:rsidR="00E30CBF" w:rsidRPr="00872429">
        <w:rPr>
          <w:rFonts w:ascii="Arial" w:hAnsi="Arial" w:cs="Arial"/>
          <w:sz w:val="24"/>
        </w:rPr>
        <w:t>1</w:t>
      </w:r>
      <w:proofErr w:type="gramEnd"/>
      <w:r w:rsidR="00066E5D" w:rsidRPr="00872429">
        <w:rPr>
          <w:rFonts w:ascii="Arial" w:hAnsi="Arial" w:cs="Arial"/>
          <w:sz w:val="24"/>
        </w:rPr>
        <w:t xml:space="preserve"> </w:t>
      </w:r>
      <w:r w:rsidR="006C00DC" w:rsidRPr="00872429">
        <w:rPr>
          <w:rFonts w:ascii="Arial" w:hAnsi="Arial" w:cs="Arial"/>
          <w:sz w:val="24"/>
        </w:rPr>
        <w:t>mostra que o c</w:t>
      </w:r>
      <w:r w:rsidR="00E30CBF" w:rsidRPr="00872429">
        <w:rPr>
          <w:rFonts w:ascii="Arial" w:hAnsi="Arial" w:cs="Arial"/>
          <w:sz w:val="24"/>
        </w:rPr>
        <w:t xml:space="preserve">ritério V – que relaciona os fármacos utilizados em medicamentos da RENAME - foi o que reuniu o maior número de </w:t>
      </w:r>
      <w:proofErr w:type="spellStart"/>
      <w:r w:rsidR="00E30CBF" w:rsidRPr="00872429">
        <w:rPr>
          <w:rFonts w:ascii="Arial" w:hAnsi="Arial" w:cs="Arial"/>
          <w:sz w:val="24"/>
        </w:rPr>
        <w:t>IFAs</w:t>
      </w:r>
      <w:proofErr w:type="spellEnd"/>
      <w:r w:rsidR="00F3005F" w:rsidRPr="00872429">
        <w:rPr>
          <w:rFonts w:ascii="Arial" w:hAnsi="Arial" w:cs="Arial"/>
          <w:sz w:val="24"/>
        </w:rPr>
        <w:t>: 18</w:t>
      </w:r>
      <w:r w:rsidR="00E30CBF" w:rsidRPr="00872429">
        <w:rPr>
          <w:rFonts w:ascii="Arial" w:hAnsi="Arial" w:cs="Arial"/>
          <w:sz w:val="24"/>
        </w:rPr>
        <w:t xml:space="preserve"> dos 20 fármacos, ou seja, 90%. Por outro lado, o critério VII – fármacos para doenças negligenciadas - foi aquele </w:t>
      </w:r>
      <w:r w:rsidR="00AD260E" w:rsidRPr="00872429">
        <w:rPr>
          <w:rFonts w:ascii="Arial" w:hAnsi="Arial" w:cs="Arial"/>
          <w:sz w:val="24"/>
        </w:rPr>
        <w:t>para o qual</w:t>
      </w:r>
      <w:r w:rsidR="00CC551D" w:rsidRPr="00872429">
        <w:rPr>
          <w:rFonts w:ascii="Arial" w:hAnsi="Arial" w:cs="Arial"/>
          <w:sz w:val="24"/>
        </w:rPr>
        <w:t xml:space="preserve"> </w:t>
      </w:r>
      <w:r w:rsidR="00E30CBF" w:rsidRPr="00872429">
        <w:rPr>
          <w:rFonts w:ascii="Arial" w:hAnsi="Arial" w:cs="Arial"/>
          <w:sz w:val="24"/>
        </w:rPr>
        <w:t xml:space="preserve">se observou o menor número de insumos enquadrados - dois, representando apenas 10% da lista. O critério II – aquele de maior interesse para o setor produtivo brasileiro – contabilizou um total de 11 </w:t>
      </w:r>
      <w:proofErr w:type="spellStart"/>
      <w:r w:rsidR="00E30CBF" w:rsidRPr="00872429">
        <w:rPr>
          <w:rFonts w:ascii="Arial" w:hAnsi="Arial" w:cs="Arial"/>
          <w:sz w:val="24"/>
        </w:rPr>
        <w:t>IFAs</w:t>
      </w:r>
      <w:proofErr w:type="spellEnd"/>
      <w:r w:rsidR="00E30CBF" w:rsidRPr="00872429">
        <w:rPr>
          <w:rFonts w:ascii="Arial" w:hAnsi="Arial" w:cs="Arial"/>
          <w:sz w:val="24"/>
        </w:rPr>
        <w:t xml:space="preserve">, o que representa 55% das possibilidades de enquadramento. Sob </w:t>
      </w:r>
      <w:r w:rsidR="000E7DC0" w:rsidRPr="00872429">
        <w:rPr>
          <w:rFonts w:ascii="Arial" w:hAnsi="Arial" w:cs="Arial"/>
          <w:sz w:val="24"/>
        </w:rPr>
        <w:t>o ponto de vista de mercado, ess</w:t>
      </w:r>
      <w:r w:rsidR="00E30CBF" w:rsidRPr="00872429">
        <w:rPr>
          <w:rFonts w:ascii="Arial" w:hAnsi="Arial" w:cs="Arial"/>
          <w:sz w:val="24"/>
        </w:rPr>
        <w:t>e seria o critério a ser priorizado pelas empresas fabricantes no país, uma vez que a possibilidade de aumentar a produção de um IFA fabricado localmente (deixando-se de importar o restante da demanda ou substituindo parte dela pela oferta interna) parece ser algo mais imediato do que o início da produção de um fármaco</w:t>
      </w:r>
      <w:r w:rsidR="00CC551D" w:rsidRPr="00872429">
        <w:rPr>
          <w:rFonts w:ascii="Arial" w:hAnsi="Arial" w:cs="Arial"/>
          <w:sz w:val="24"/>
        </w:rPr>
        <w:t xml:space="preserve"> </w:t>
      </w:r>
      <w:r w:rsidR="002B60ED" w:rsidRPr="00872429">
        <w:rPr>
          <w:rFonts w:ascii="Arial" w:hAnsi="Arial" w:cs="Arial"/>
          <w:sz w:val="24"/>
        </w:rPr>
        <w:t>ainda</w:t>
      </w:r>
      <w:r w:rsidR="00E30CBF" w:rsidRPr="00872429">
        <w:rPr>
          <w:rFonts w:ascii="Arial" w:hAnsi="Arial" w:cs="Arial"/>
          <w:sz w:val="24"/>
        </w:rPr>
        <w:t xml:space="preserve"> sem fabricação</w:t>
      </w:r>
      <w:r w:rsidR="006C00DC" w:rsidRPr="00872429">
        <w:rPr>
          <w:rFonts w:ascii="Arial" w:hAnsi="Arial" w:cs="Arial"/>
          <w:sz w:val="24"/>
        </w:rPr>
        <w:t xml:space="preserve"> local</w:t>
      </w:r>
      <w:r w:rsidR="00E30CBF" w:rsidRPr="00872429">
        <w:rPr>
          <w:rFonts w:ascii="Arial" w:hAnsi="Arial" w:cs="Arial"/>
          <w:sz w:val="24"/>
        </w:rPr>
        <w:t>.</w:t>
      </w:r>
    </w:p>
    <w:p w:rsidR="00E30CBF" w:rsidRPr="00872429" w:rsidRDefault="00E30CBF" w:rsidP="00E30CBF">
      <w:pPr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 xml:space="preserve">Enquanto foram identificadas apenas seis empresas fabricantes </w:t>
      </w:r>
      <w:r w:rsidR="006C00DC" w:rsidRPr="00872429">
        <w:rPr>
          <w:rFonts w:ascii="Arial" w:hAnsi="Arial" w:cs="Arial"/>
          <w:sz w:val="24"/>
        </w:rPr>
        <w:t>de</w:t>
      </w:r>
      <w:r w:rsidRPr="00872429">
        <w:rPr>
          <w:rFonts w:ascii="Arial" w:hAnsi="Arial" w:cs="Arial"/>
          <w:sz w:val="24"/>
        </w:rPr>
        <w:t xml:space="preserve"> 11 dos 20 </w:t>
      </w:r>
      <w:proofErr w:type="spellStart"/>
      <w:proofErr w:type="gramStart"/>
      <w:r w:rsidRPr="00872429">
        <w:rPr>
          <w:rFonts w:ascii="Arial" w:hAnsi="Arial" w:cs="Arial"/>
          <w:sz w:val="24"/>
        </w:rPr>
        <w:t>IFAs</w:t>
      </w:r>
      <w:proofErr w:type="spellEnd"/>
      <w:r w:rsidR="009B0639" w:rsidRPr="00872429">
        <w:rPr>
          <w:rFonts w:ascii="Arial" w:hAnsi="Arial" w:cs="Arial"/>
          <w:sz w:val="24"/>
        </w:rPr>
        <w:t>(</w:t>
      </w:r>
      <w:proofErr w:type="gramEnd"/>
      <w:r w:rsidR="00326AE1" w:rsidRPr="00872429">
        <w:rPr>
          <w:rFonts w:ascii="Arial" w:eastAsia="Times New Roman" w:hAnsi="Arial" w:cs="Arial"/>
          <w:sz w:val="24"/>
          <w:lang w:eastAsia="pt-BR"/>
        </w:rPr>
        <w:t>Associação Brasileira da Indústria Farmoquímica e de Insumos Farmacêuticos</w:t>
      </w:r>
      <w:r w:rsidR="009B0639" w:rsidRPr="00872429">
        <w:rPr>
          <w:rFonts w:ascii="Arial" w:hAnsi="Arial" w:cs="Arial"/>
          <w:sz w:val="24"/>
        </w:rPr>
        <w:t>, 2012)</w:t>
      </w:r>
      <w:r w:rsidR="00CC551D" w:rsidRPr="00872429">
        <w:rPr>
          <w:rFonts w:ascii="Arial" w:hAnsi="Arial" w:cs="Arial"/>
          <w:sz w:val="24"/>
          <w:vertAlign w:val="superscript"/>
        </w:rPr>
        <w:t>15</w:t>
      </w:r>
      <w:r w:rsidR="009B0639" w:rsidRPr="00872429">
        <w:rPr>
          <w:rFonts w:ascii="Arial" w:hAnsi="Arial" w:cs="Arial"/>
          <w:sz w:val="24"/>
        </w:rPr>
        <w:t xml:space="preserve"> </w:t>
      </w:r>
      <w:r w:rsidRPr="00872429">
        <w:rPr>
          <w:rFonts w:ascii="Arial" w:hAnsi="Arial" w:cs="Arial"/>
          <w:sz w:val="24"/>
        </w:rPr>
        <w:t>da IN n° 15/09, existem dezenas de diferentes fabricantes internacionais de diversas origens.</w:t>
      </w:r>
    </w:p>
    <w:p w:rsidR="00E30CBF" w:rsidRPr="00872429" w:rsidRDefault="00E30CBF" w:rsidP="00E30CBF">
      <w:pPr>
        <w:rPr>
          <w:rFonts w:ascii="Arial" w:hAnsi="Arial" w:cs="Arial"/>
          <w:b/>
          <w:sz w:val="24"/>
        </w:rPr>
        <w:sectPr w:rsidR="00E30CBF" w:rsidRPr="00872429" w:rsidSect="00A73E6C">
          <w:type w:val="continuous"/>
          <w:pgSz w:w="11906" w:h="16838"/>
          <w:pgMar w:top="1134" w:right="1134" w:bottom="1134" w:left="1134" w:header="709" w:footer="709" w:gutter="0"/>
          <w:lnNumType w:countBy="1"/>
          <w:cols w:space="708"/>
          <w:docGrid w:linePitch="360"/>
        </w:sectPr>
      </w:pPr>
    </w:p>
    <w:p w:rsidR="00E30CBF" w:rsidRPr="004657A5" w:rsidRDefault="00E30CBF" w:rsidP="004657A5">
      <w:pPr>
        <w:spacing w:before="120"/>
        <w:ind w:firstLine="0"/>
        <w:rPr>
          <w:rFonts w:ascii="Arial" w:hAnsi="Arial" w:cs="Arial"/>
          <w:i/>
          <w:sz w:val="24"/>
        </w:rPr>
      </w:pPr>
      <w:r w:rsidRPr="004657A5">
        <w:rPr>
          <w:rFonts w:ascii="Arial" w:hAnsi="Arial" w:cs="Arial"/>
          <w:i/>
          <w:sz w:val="24"/>
        </w:rPr>
        <w:lastRenderedPageBreak/>
        <w:t xml:space="preserve">Fabricantes mundiais de </w:t>
      </w:r>
      <w:proofErr w:type="spellStart"/>
      <w:r w:rsidRPr="004657A5">
        <w:rPr>
          <w:rFonts w:ascii="Arial" w:hAnsi="Arial" w:cs="Arial"/>
          <w:i/>
          <w:sz w:val="24"/>
        </w:rPr>
        <w:t>IFAs</w:t>
      </w:r>
      <w:proofErr w:type="spellEnd"/>
    </w:p>
    <w:p w:rsidR="00CC551D" w:rsidRPr="00672285" w:rsidRDefault="00E30CBF" w:rsidP="00672285">
      <w:pPr>
        <w:tabs>
          <w:tab w:val="left" w:pos="1035"/>
        </w:tabs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 xml:space="preserve">Consultando a base de dados </w:t>
      </w:r>
      <w:proofErr w:type="spellStart"/>
      <w:r w:rsidRPr="00872429">
        <w:rPr>
          <w:rFonts w:ascii="Arial" w:hAnsi="Arial" w:cs="Arial"/>
          <w:i/>
          <w:sz w:val="24"/>
        </w:rPr>
        <w:t>Directory</w:t>
      </w:r>
      <w:proofErr w:type="spellEnd"/>
      <w:r w:rsidR="00672285">
        <w:rPr>
          <w:rFonts w:ascii="Arial" w:hAnsi="Arial" w:cs="Arial"/>
          <w:i/>
          <w:sz w:val="24"/>
        </w:rPr>
        <w:t xml:space="preserve"> </w:t>
      </w:r>
      <w:proofErr w:type="spellStart"/>
      <w:r w:rsidRPr="00872429">
        <w:rPr>
          <w:rFonts w:ascii="Arial" w:hAnsi="Arial" w:cs="Arial"/>
          <w:i/>
          <w:sz w:val="24"/>
        </w:rPr>
        <w:t>of</w:t>
      </w:r>
      <w:proofErr w:type="spellEnd"/>
      <w:r w:rsidRPr="00872429">
        <w:rPr>
          <w:rFonts w:ascii="Arial" w:hAnsi="Arial" w:cs="Arial"/>
          <w:i/>
          <w:sz w:val="24"/>
        </w:rPr>
        <w:t xml:space="preserve"> World </w:t>
      </w:r>
      <w:proofErr w:type="spellStart"/>
      <w:r w:rsidRPr="00872429">
        <w:rPr>
          <w:rFonts w:ascii="Arial" w:hAnsi="Arial" w:cs="Arial"/>
          <w:i/>
          <w:sz w:val="24"/>
        </w:rPr>
        <w:t>Chemical</w:t>
      </w:r>
      <w:proofErr w:type="spellEnd"/>
      <w:r w:rsidR="00672285">
        <w:rPr>
          <w:rFonts w:ascii="Arial" w:hAnsi="Arial" w:cs="Arial"/>
          <w:i/>
          <w:sz w:val="24"/>
        </w:rPr>
        <w:t xml:space="preserve"> </w:t>
      </w:r>
      <w:proofErr w:type="spellStart"/>
      <w:r w:rsidRPr="00872429">
        <w:rPr>
          <w:rFonts w:ascii="Arial" w:hAnsi="Arial" w:cs="Arial"/>
          <w:i/>
          <w:sz w:val="24"/>
        </w:rPr>
        <w:t>Producers</w:t>
      </w:r>
      <w:proofErr w:type="spellEnd"/>
      <w:r w:rsidRPr="00872429">
        <w:rPr>
          <w:rFonts w:ascii="Arial" w:hAnsi="Arial" w:cs="Arial"/>
          <w:sz w:val="24"/>
        </w:rPr>
        <w:t xml:space="preserve"> (DWCP</w:t>
      </w:r>
      <w:proofErr w:type="gramStart"/>
      <w:r w:rsidRPr="00872429">
        <w:rPr>
          <w:rFonts w:ascii="Arial" w:hAnsi="Arial" w:cs="Arial"/>
          <w:sz w:val="24"/>
        </w:rPr>
        <w:t>)</w:t>
      </w:r>
      <w:r w:rsidR="00AC4343" w:rsidRPr="00872429">
        <w:rPr>
          <w:rFonts w:ascii="Arial" w:hAnsi="Arial" w:cs="Arial"/>
          <w:sz w:val="24"/>
        </w:rPr>
        <w:t>(</w:t>
      </w:r>
      <w:proofErr w:type="spellStart"/>
      <w:proofErr w:type="gramEnd"/>
      <w:r w:rsidR="0000797D" w:rsidRPr="00872429">
        <w:rPr>
          <w:rFonts w:ascii="Arial" w:eastAsia="Times New Roman" w:hAnsi="Arial" w:cs="Arial"/>
          <w:sz w:val="24"/>
          <w:lang w:eastAsia="pt-BR"/>
        </w:rPr>
        <w:t>Directory</w:t>
      </w:r>
      <w:proofErr w:type="spellEnd"/>
      <w:r w:rsidR="0000797D" w:rsidRPr="00872429">
        <w:rPr>
          <w:rFonts w:ascii="Arial" w:eastAsia="Times New Roman" w:hAnsi="Arial" w:cs="Arial"/>
          <w:sz w:val="24"/>
          <w:lang w:eastAsia="pt-BR"/>
        </w:rPr>
        <w:t xml:space="preserve"> </w:t>
      </w:r>
      <w:proofErr w:type="spellStart"/>
      <w:r w:rsidR="0000797D" w:rsidRPr="00872429">
        <w:rPr>
          <w:rFonts w:ascii="Arial" w:eastAsia="Times New Roman" w:hAnsi="Arial" w:cs="Arial"/>
          <w:sz w:val="24"/>
          <w:lang w:eastAsia="pt-BR"/>
        </w:rPr>
        <w:t>of</w:t>
      </w:r>
      <w:proofErr w:type="spellEnd"/>
      <w:r w:rsidR="0000797D" w:rsidRPr="00872429">
        <w:rPr>
          <w:rFonts w:ascii="Arial" w:eastAsia="Times New Roman" w:hAnsi="Arial" w:cs="Arial"/>
          <w:sz w:val="24"/>
          <w:lang w:eastAsia="pt-BR"/>
        </w:rPr>
        <w:t xml:space="preserve"> World </w:t>
      </w:r>
      <w:proofErr w:type="spellStart"/>
      <w:r w:rsidR="0000797D" w:rsidRPr="00872429">
        <w:rPr>
          <w:rFonts w:ascii="Arial" w:eastAsia="Times New Roman" w:hAnsi="Arial" w:cs="Arial"/>
          <w:sz w:val="24"/>
          <w:lang w:eastAsia="pt-BR"/>
        </w:rPr>
        <w:t>Chemical</w:t>
      </w:r>
      <w:proofErr w:type="spellEnd"/>
      <w:r w:rsidR="0000797D" w:rsidRPr="00872429">
        <w:rPr>
          <w:rFonts w:ascii="Arial" w:eastAsia="Times New Roman" w:hAnsi="Arial" w:cs="Arial"/>
          <w:sz w:val="24"/>
          <w:lang w:eastAsia="pt-BR"/>
        </w:rPr>
        <w:t xml:space="preserve"> </w:t>
      </w:r>
      <w:proofErr w:type="spellStart"/>
      <w:r w:rsidR="0000797D" w:rsidRPr="00872429">
        <w:rPr>
          <w:rFonts w:ascii="Arial" w:eastAsia="Times New Roman" w:hAnsi="Arial" w:cs="Arial"/>
          <w:sz w:val="24"/>
          <w:lang w:eastAsia="pt-BR"/>
        </w:rPr>
        <w:t>Producers</w:t>
      </w:r>
      <w:proofErr w:type="spellEnd"/>
      <w:r w:rsidR="00AC4343" w:rsidRPr="00872429">
        <w:rPr>
          <w:rFonts w:ascii="Arial" w:hAnsi="Arial" w:cs="Arial"/>
          <w:sz w:val="24"/>
        </w:rPr>
        <w:t>, 2012)</w:t>
      </w:r>
      <w:r w:rsidR="00CC551D" w:rsidRPr="00872429">
        <w:rPr>
          <w:rFonts w:ascii="Arial" w:hAnsi="Arial" w:cs="Arial"/>
          <w:sz w:val="24"/>
          <w:vertAlign w:val="superscript"/>
        </w:rPr>
        <w:t>16</w:t>
      </w:r>
      <w:r w:rsidRPr="00872429">
        <w:rPr>
          <w:rFonts w:ascii="Arial" w:hAnsi="Arial" w:cs="Arial"/>
          <w:sz w:val="24"/>
        </w:rPr>
        <w:t xml:space="preserve">, foi possível levantar os produtores mundiais desses 20 fármacos. Da análise do número de empresas por país de origem para cada um dos 20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estudados, foi possível quantificar o percentual de distribuição desses produtos por país. Para ser possível uma comparação dessa distribuição entre todos os produtos, obedecendo aos mesmos parâmetros, optou-se</w:t>
      </w:r>
      <w:r w:rsidR="00CC551D" w:rsidRPr="00872429">
        <w:rPr>
          <w:rFonts w:ascii="Arial" w:hAnsi="Arial" w:cs="Arial"/>
          <w:sz w:val="24"/>
        </w:rPr>
        <w:t xml:space="preserve"> </w:t>
      </w:r>
      <w:r w:rsidRPr="00872429">
        <w:rPr>
          <w:rFonts w:ascii="Arial" w:hAnsi="Arial" w:cs="Arial"/>
          <w:sz w:val="24"/>
        </w:rPr>
        <w:t xml:space="preserve">por compilar os dados em cinco países/blocos: China, Índia, Estados Unidos, União Europeia e Outros. </w:t>
      </w:r>
      <w:r w:rsidR="009B0639" w:rsidRPr="00872429">
        <w:rPr>
          <w:rFonts w:ascii="Arial" w:hAnsi="Arial" w:cs="Arial"/>
          <w:sz w:val="24"/>
        </w:rPr>
        <w:t>O</w:t>
      </w:r>
      <w:r w:rsidR="00CC551D" w:rsidRPr="00872429">
        <w:rPr>
          <w:rFonts w:ascii="Arial" w:hAnsi="Arial" w:cs="Arial"/>
          <w:sz w:val="24"/>
        </w:rPr>
        <w:t xml:space="preserve"> </w:t>
      </w:r>
      <w:r w:rsidR="00AC4343" w:rsidRPr="00872429">
        <w:rPr>
          <w:rFonts w:ascii="Arial" w:hAnsi="Arial" w:cs="Arial"/>
          <w:sz w:val="24"/>
        </w:rPr>
        <w:t>Gráfico</w:t>
      </w:r>
      <w:r w:rsidR="00CC551D" w:rsidRPr="00872429">
        <w:rPr>
          <w:rFonts w:ascii="Arial" w:hAnsi="Arial" w:cs="Arial"/>
          <w:sz w:val="24"/>
        </w:rPr>
        <w:t xml:space="preserve"> </w:t>
      </w:r>
      <w:proofErr w:type="gramStart"/>
      <w:r w:rsidRPr="00872429">
        <w:rPr>
          <w:rFonts w:ascii="Arial" w:hAnsi="Arial" w:cs="Arial"/>
          <w:sz w:val="24"/>
        </w:rPr>
        <w:t>2</w:t>
      </w:r>
      <w:proofErr w:type="gramEnd"/>
      <w:r w:rsidRPr="00872429">
        <w:rPr>
          <w:rFonts w:ascii="Arial" w:hAnsi="Arial" w:cs="Arial"/>
          <w:sz w:val="24"/>
        </w:rPr>
        <w:t>, a</w:t>
      </w:r>
      <w:r w:rsidR="006C00DC" w:rsidRPr="00872429">
        <w:rPr>
          <w:rFonts w:ascii="Arial" w:hAnsi="Arial" w:cs="Arial"/>
          <w:sz w:val="24"/>
        </w:rPr>
        <w:t xml:space="preserve"> seguir</w:t>
      </w:r>
      <w:r w:rsidRPr="00872429">
        <w:rPr>
          <w:rFonts w:ascii="Arial" w:hAnsi="Arial" w:cs="Arial"/>
          <w:sz w:val="24"/>
        </w:rPr>
        <w:t xml:space="preserve">, traz o resultado dessa análise. Ele </w:t>
      </w:r>
      <w:r w:rsidR="00C34EC8" w:rsidRPr="00872429">
        <w:rPr>
          <w:rFonts w:ascii="Arial" w:hAnsi="Arial" w:cs="Arial"/>
          <w:sz w:val="24"/>
        </w:rPr>
        <w:t>apresenta</w:t>
      </w:r>
      <w:r w:rsidRPr="00872429">
        <w:rPr>
          <w:rFonts w:ascii="Arial" w:hAnsi="Arial" w:cs="Arial"/>
          <w:sz w:val="24"/>
        </w:rPr>
        <w:t xml:space="preserve"> a média da distribuição da origem dos fabricantes mundiais dos 20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>. Quase a metade das empresas fabricantes desses fármacos é de origem chinesa (43%), e 23% dessas empresas são indianas. A União Europeia responde por 14% e os Estados Unidos por 10%, assim como os demais países.</w:t>
      </w:r>
    </w:p>
    <w:p w:rsidR="00CC551D" w:rsidRPr="00E30CBF" w:rsidRDefault="00CC551D" w:rsidP="00CC551D">
      <w:pPr>
        <w:jc w:val="center"/>
        <w:rPr>
          <w:sz w:val="22"/>
        </w:rPr>
      </w:pPr>
      <w:r w:rsidRPr="00B3415B">
        <w:rPr>
          <w:noProof/>
          <w:sz w:val="22"/>
          <w:lang w:eastAsia="pt-BR"/>
        </w:rPr>
        <w:lastRenderedPageBreak/>
        <w:drawing>
          <wp:inline distT="0" distB="0" distL="0" distR="0">
            <wp:extent cx="3943350" cy="2657475"/>
            <wp:effectExtent l="0" t="0" r="0" b="0"/>
            <wp:docPr id="7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C551D" w:rsidRDefault="00CC551D" w:rsidP="00DE3631">
      <w:pPr>
        <w:spacing w:before="120"/>
        <w:jc w:val="center"/>
        <w:rPr>
          <w:sz w:val="22"/>
        </w:rPr>
      </w:pPr>
      <w:r w:rsidRPr="00CC551D">
        <w:rPr>
          <w:rFonts w:ascii="Arial" w:hAnsi="Arial" w:cs="Arial"/>
          <w:sz w:val="22"/>
        </w:rPr>
        <w:t xml:space="preserve">Gráfico 2 – Média da distribuição dos fabricantes mundiais dos vinte </w:t>
      </w:r>
      <w:proofErr w:type="spellStart"/>
      <w:r w:rsidRPr="00CC551D">
        <w:rPr>
          <w:rFonts w:ascii="Arial" w:hAnsi="Arial" w:cs="Arial"/>
          <w:sz w:val="22"/>
        </w:rPr>
        <w:t>IFAs</w:t>
      </w:r>
      <w:proofErr w:type="spellEnd"/>
      <w:r w:rsidRPr="00CC551D">
        <w:rPr>
          <w:rFonts w:ascii="Arial" w:hAnsi="Arial" w:cs="Arial"/>
          <w:sz w:val="22"/>
        </w:rPr>
        <w:t xml:space="preserve"> por origem</w:t>
      </w:r>
    </w:p>
    <w:p w:rsidR="00CC551D" w:rsidRPr="00CC551D" w:rsidRDefault="00CC551D" w:rsidP="00CC551D">
      <w:pPr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 xml:space="preserve">   </w:t>
      </w:r>
      <w:r w:rsidRPr="00CC551D">
        <w:rPr>
          <w:rFonts w:ascii="Arial" w:hAnsi="Arial" w:cs="Arial"/>
          <w:sz w:val="18"/>
        </w:rPr>
        <w:t>Elaboração própria. Fonte: DWCP, 2012</w:t>
      </w:r>
    </w:p>
    <w:p w:rsidR="00E30CBF" w:rsidRPr="007A5981" w:rsidRDefault="00E30CBF" w:rsidP="00672285">
      <w:pPr>
        <w:jc w:val="center"/>
        <w:rPr>
          <w:rFonts w:ascii="Arial" w:hAnsi="Arial" w:cs="Arial"/>
          <w:sz w:val="22"/>
        </w:rPr>
      </w:pPr>
    </w:p>
    <w:p w:rsidR="00E30CBF" w:rsidRPr="007A5981" w:rsidRDefault="00E30CBF" w:rsidP="00E30CBF">
      <w:pPr>
        <w:rPr>
          <w:rFonts w:ascii="Arial" w:hAnsi="Arial" w:cs="Arial"/>
          <w:sz w:val="22"/>
        </w:rPr>
      </w:pPr>
    </w:p>
    <w:p w:rsidR="00E30CBF" w:rsidRPr="007A5981" w:rsidRDefault="00E30CBF" w:rsidP="00E30CBF">
      <w:pPr>
        <w:rPr>
          <w:rFonts w:ascii="Arial" w:hAnsi="Arial" w:cs="Arial"/>
          <w:sz w:val="22"/>
        </w:rPr>
        <w:sectPr w:rsidR="00E30CBF" w:rsidRPr="007A5981" w:rsidSect="00A73E6C">
          <w:type w:val="continuous"/>
          <w:pgSz w:w="11906" w:h="16838"/>
          <w:pgMar w:top="1134" w:right="1134" w:bottom="1134" w:left="1134" w:header="709" w:footer="709" w:gutter="0"/>
          <w:lnNumType w:countBy="1"/>
          <w:cols w:space="708"/>
          <w:docGrid w:linePitch="360"/>
        </w:sectPr>
      </w:pPr>
    </w:p>
    <w:p w:rsidR="00E30CBF" w:rsidRPr="00872429" w:rsidRDefault="00E30CBF" w:rsidP="00E30CBF">
      <w:pPr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lastRenderedPageBreak/>
        <w:t xml:space="preserve">Essa distribuição na participação da oferta mundial de fármacos confirma a origem dos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consumidos no Brasil via importação (conforme dados apurados) e reflete a estratégia bem sucedida adotada por China e Índia ao aproveitarem-se do período de carência de cinco anos (1995-2000), definido em </w:t>
      </w:r>
      <w:proofErr w:type="gramStart"/>
      <w:r w:rsidRPr="00872429">
        <w:rPr>
          <w:rFonts w:ascii="Arial" w:hAnsi="Arial" w:cs="Arial"/>
          <w:sz w:val="24"/>
        </w:rPr>
        <w:t>TRIPS</w:t>
      </w:r>
      <w:r w:rsidR="00AC4343" w:rsidRPr="00872429">
        <w:rPr>
          <w:rFonts w:ascii="Arial" w:hAnsi="Arial" w:cs="Arial"/>
          <w:sz w:val="24"/>
        </w:rPr>
        <w:t>(</w:t>
      </w:r>
      <w:proofErr w:type="gramEnd"/>
      <w:r w:rsidR="00AC4343" w:rsidRPr="00872429">
        <w:rPr>
          <w:rFonts w:ascii="Arial" w:hAnsi="Arial" w:cs="Arial"/>
          <w:sz w:val="24"/>
        </w:rPr>
        <w:t>B</w:t>
      </w:r>
      <w:r w:rsidR="0000797D" w:rsidRPr="00872429">
        <w:rPr>
          <w:rFonts w:ascii="Arial" w:hAnsi="Arial" w:cs="Arial"/>
          <w:sz w:val="24"/>
        </w:rPr>
        <w:t>rasil</w:t>
      </w:r>
      <w:r w:rsidR="00AC4343" w:rsidRPr="00872429">
        <w:rPr>
          <w:rFonts w:ascii="Arial" w:hAnsi="Arial" w:cs="Arial"/>
          <w:sz w:val="24"/>
        </w:rPr>
        <w:t>, 1994)</w:t>
      </w:r>
      <w:r w:rsidR="008B0E24" w:rsidRPr="00872429">
        <w:rPr>
          <w:rFonts w:ascii="Arial" w:hAnsi="Arial" w:cs="Arial"/>
          <w:sz w:val="24"/>
          <w:vertAlign w:val="superscript"/>
        </w:rPr>
        <w:t>17</w:t>
      </w:r>
      <w:r w:rsidRPr="00872429">
        <w:rPr>
          <w:rFonts w:ascii="Arial" w:hAnsi="Arial" w:cs="Arial"/>
          <w:sz w:val="24"/>
        </w:rPr>
        <w:t>, para a internalização de suas legislações de propriedade industrial. Com essa decisão – que permitiu copiar a síntese química de uma série de moléculas – os dois países capacitar</w:t>
      </w:r>
      <w:r w:rsidR="00DA2350" w:rsidRPr="00872429">
        <w:rPr>
          <w:rFonts w:ascii="Arial" w:hAnsi="Arial" w:cs="Arial"/>
          <w:sz w:val="24"/>
        </w:rPr>
        <w:t>am</w:t>
      </w:r>
      <w:r w:rsidRPr="00872429">
        <w:rPr>
          <w:rFonts w:ascii="Arial" w:hAnsi="Arial" w:cs="Arial"/>
          <w:sz w:val="24"/>
        </w:rPr>
        <w:t xml:space="preserve">-se industrialmente, tornando-se os maiores produtores e fornecedores mundiais de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>.</w:t>
      </w:r>
    </w:p>
    <w:p w:rsidR="00AF5AAF" w:rsidRPr="00872429" w:rsidRDefault="00E30CBF" w:rsidP="00E30CBF">
      <w:pPr>
        <w:tabs>
          <w:tab w:val="left" w:pos="1455"/>
        </w:tabs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 xml:space="preserve">Uma das formas de impedir ou dificultar a possível fabricação de um dos nove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sem produção no Brasil seria a restrição quanto à sua liberdade de exploração no país, isto é, a não fabricação do produto em função de o mesmo encontrar-se ainda </w:t>
      </w:r>
      <w:proofErr w:type="gramStart"/>
      <w:r w:rsidRPr="00872429">
        <w:rPr>
          <w:rFonts w:ascii="Arial" w:hAnsi="Arial" w:cs="Arial"/>
          <w:sz w:val="24"/>
        </w:rPr>
        <w:t>sob proteção</w:t>
      </w:r>
      <w:proofErr w:type="gramEnd"/>
      <w:r w:rsidRPr="00872429">
        <w:rPr>
          <w:rFonts w:ascii="Arial" w:hAnsi="Arial" w:cs="Arial"/>
          <w:sz w:val="24"/>
        </w:rPr>
        <w:t xml:space="preserve"> patentária (monopólio de exploração do detentor da patente). Dos 20 insumos estudados, todos</w:t>
      </w:r>
      <w:r w:rsidR="0066724F" w:rsidRPr="00872429">
        <w:rPr>
          <w:rFonts w:ascii="Arial" w:hAnsi="Arial" w:cs="Arial"/>
          <w:sz w:val="24"/>
        </w:rPr>
        <w:t xml:space="preserve"> </w:t>
      </w:r>
      <w:r w:rsidRPr="00872429">
        <w:rPr>
          <w:rFonts w:ascii="Arial" w:hAnsi="Arial" w:cs="Arial"/>
          <w:sz w:val="24"/>
        </w:rPr>
        <w:t xml:space="preserve">já se encontram em domínio público, segundo dados levantados junto ao Instituto Nacional da Propriedade Industrial (INPI) </w:t>
      </w:r>
      <w:r w:rsidR="00892318" w:rsidRPr="00872429">
        <w:rPr>
          <w:rFonts w:ascii="Arial" w:hAnsi="Arial" w:cs="Arial"/>
          <w:sz w:val="24"/>
        </w:rPr>
        <w:t>(I</w:t>
      </w:r>
      <w:r w:rsidR="00936318" w:rsidRPr="00872429">
        <w:rPr>
          <w:rFonts w:ascii="Arial" w:hAnsi="Arial" w:cs="Arial"/>
          <w:sz w:val="24"/>
        </w:rPr>
        <w:t>nstituto Nacional de Propriedade Industrial</w:t>
      </w:r>
      <w:r w:rsidR="00892318" w:rsidRPr="00872429">
        <w:rPr>
          <w:rFonts w:ascii="Arial" w:hAnsi="Arial" w:cs="Arial"/>
          <w:sz w:val="24"/>
        </w:rPr>
        <w:t>,</w:t>
      </w:r>
      <w:r w:rsidR="008B0E24" w:rsidRPr="00872429">
        <w:rPr>
          <w:rFonts w:ascii="Arial" w:hAnsi="Arial" w:cs="Arial"/>
          <w:sz w:val="24"/>
        </w:rPr>
        <w:t xml:space="preserve"> </w:t>
      </w:r>
      <w:r w:rsidRPr="00872429">
        <w:rPr>
          <w:rFonts w:ascii="Arial" w:hAnsi="Arial" w:cs="Arial"/>
          <w:sz w:val="24"/>
        </w:rPr>
        <w:t>2012</w:t>
      </w:r>
      <w:r w:rsidR="00892318" w:rsidRPr="00872429">
        <w:rPr>
          <w:rFonts w:ascii="Arial" w:hAnsi="Arial" w:cs="Arial"/>
          <w:sz w:val="24"/>
        </w:rPr>
        <w:t>)</w:t>
      </w:r>
      <w:r w:rsidR="008B0E24" w:rsidRPr="00872429">
        <w:rPr>
          <w:rFonts w:ascii="Arial" w:hAnsi="Arial" w:cs="Arial"/>
          <w:sz w:val="24"/>
          <w:vertAlign w:val="superscript"/>
        </w:rPr>
        <w:t>18</w:t>
      </w:r>
      <w:r w:rsidR="006C00DC" w:rsidRPr="00872429">
        <w:rPr>
          <w:rFonts w:ascii="Arial" w:hAnsi="Arial" w:cs="Arial"/>
          <w:sz w:val="24"/>
        </w:rPr>
        <w:t>,</w:t>
      </w:r>
      <w:r w:rsidRPr="00872429">
        <w:rPr>
          <w:rFonts w:ascii="Arial" w:hAnsi="Arial" w:cs="Arial"/>
          <w:sz w:val="24"/>
        </w:rPr>
        <w:t xml:space="preserve"> através de sua base de dados de patentes, podendo, portanto, serem fabricados sem o risco de </w:t>
      </w:r>
      <w:r w:rsidR="00740915" w:rsidRPr="00872429">
        <w:rPr>
          <w:rFonts w:ascii="Arial" w:hAnsi="Arial" w:cs="Arial"/>
          <w:sz w:val="24"/>
        </w:rPr>
        <w:t>infringir</w:t>
      </w:r>
      <w:r w:rsidR="008B0E24" w:rsidRPr="00872429">
        <w:rPr>
          <w:rFonts w:ascii="Arial" w:hAnsi="Arial" w:cs="Arial"/>
          <w:sz w:val="24"/>
        </w:rPr>
        <w:t xml:space="preserve"> </w:t>
      </w:r>
      <w:r w:rsidRPr="00872429">
        <w:rPr>
          <w:rFonts w:ascii="Arial" w:hAnsi="Arial" w:cs="Arial"/>
          <w:sz w:val="24"/>
        </w:rPr>
        <w:t>direitos de terceiros</w:t>
      </w:r>
      <w:r w:rsidR="00740915" w:rsidRPr="00872429">
        <w:rPr>
          <w:rFonts w:ascii="Arial" w:hAnsi="Arial" w:cs="Arial"/>
          <w:sz w:val="24"/>
        </w:rPr>
        <w:t>.</w:t>
      </w:r>
    </w:p>
    <w:p w:rsidR="00E30CBF" w:rsidRPr="00872429" w:rsidRDefault="00E30CBF" w:rsidP="00E30CBF">
      <w:pPr>
        <w:tabs>
          <w:tab w:val="left" w:pos="1455"/>
        </w:tabs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>Os dados levantados sobre a distribuição da origem dos fabricantes mundiais foram confrontados com aqueles apurados pela ANVISA</w:t>
      </w:r>
      <w:r w:rsidR="00133A24" w:rsidRPr="00872429">
        <w:rPr>
          <w:rStyle w:val="Refdenotaderodap"/>
          <w:rFonts w:ascii="Arial" w:hAnsi="Arial" w:cs="Arial"/>
          <w:sz w:val="24"/>
        </w:rPr>
        <w:footnoteReference w:id="6"/>
      </w:r>
      <w:r w:rsidRPr="00872429">
        <w:rPr>
          <w:rFonts w:ascii="Arial" w:hAnsi="Arial" w:cs="Arial"/>
          <w:sz w:val="24"/>
        </w:rPr>
        <w:t xml:space="preserve">, referentes aos fabricantes de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mais c</w:t>
      </w:r>
      <w:r w:rsidR="005811B7" w:rsidRPr="00872429">
        <w:rPr>
          <w:rFonts w:ascii="Arial" w:hAnsi="Arial" w:cs="Arial"/>
          <w:sz w:val="24"/>
        </w:rPr>
        <w:t>adastrados na agência (</w:t>
      </w:r>
      <w:r w:rsidR="00AC4343" w:rsidRPr="00872429">
        <w:rPr>
          <w:rFonts w:ascii="Arial" w:hAnsi="Arial" w:cs="Arial"/>
          <w:sz w:val="24"/>
        </w:rPr>
        <w:t>Gráfico</w:t>
      </w:r>
      <w:r w:rsidR="00066E5D" w:rsidRPr="00872429">
        <w:rPr>
          <w:rFonts w:ascii="Arial" w:hAnsi="Arial" w:cs="Arial"/>
          <w:sz w:val="24"/>
        </w:rPr>
        <w:t xml:space="preserve"> </w:t>
      </w:r>
      <w:proofErr w:type="gramStart"/>
      <w:r w:rsidR="005811B7" w:rsidRPr="00872429">
        <w:rPr>
          <w:rFonts w:ascii="Arial" w:hAnsi="Arial" w:cs="Arial"/>
          <w:sz w:val="24"/>
        </w:rPr>
        <w:t>3</w:t>
      </w:r>
      <w:proofErr w:type="gramEnd"/>
      <w:r w:rsidRPr="00872429">
        <w:rPr>
          <w:rFonts w:ascii="Arial" w:hAnsi="Arial" w:cs="Arial"/>
          <w:sz w:val="24"/>
        </w:rPr>
        <w:t>).</w:t>
      </w:r>
    </w:p>
    <w:p w:rsidR="00E30CBF" w:rsidRPr="00162332" w:rsidRDefault="00E30CBF" w:rsidP="00162332">
      <w:pPr>
        <w:spacing w:before="120"/>
        <w:ind w:firstLine="0"/>
        <w:rPr>
          <w:rFonts w:ascii="Arial" w:hAnsi="Arial" w:cs="Arial"/>
          <w:i/>
          <w:sz w:val="24"/>
        </w:rPr>
      </w:pPr>
      <w:r w:rsidRPr="00162332">
        <w:rPr>
          <w:rFonts w:ascii="Arial" w:hAnsi="Arial" w:cs="Arial"/>
          <w:i/>
          <w:sz w:val="24"/>
        </w:rPr>
        <w:lastRenderedPageBreak/>
        <w:t xml:space="preserve">Cadastramento dos 20 </w:t>
      </w:r>
      <w:proofErr w:type="spellStart"/>
      <w:r w:rsidRPr="00162332">
        <w:rPr>
          <w:rFonts w:ascii="Arial" w:hAnsi="Arial" w:cs="Arial"/>
          <w:i/>
          <w:sz w:val="24"/>
        </w:rPr>
        <w:t>IFAs</w:t>
      </w:r>
      <w:proofErr w:type="spellEnd"/>
      <w:r w:rsidRPr="00162332">
        <w:rPr>
          <w:rFonts w:ascii="Arial" w:hAnsi="Arial" w:cs="Arial"/>
          <w:i/>
          <w:sz w:val="24"/>
        </w:rPr>
        <w:t xml:space="preserve"> na ANVISA</w:t>
      </w:r>
    </w:p>
    <w:p w:rsidR="00E30CBF" w:rsidRPr="00872429" w:rsidRDefault="00E30CBF" w:rsidP="00532AF3">
      <w:pPr>
        <w:tabs>
          <w:tab w:val="left" w:pos="1455"/>
          <w:tab w:val="left" w:pos="4980"/>
        </w:tabs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 xml:space="preserve">Além </w:t>
      </w:r>
      <w:r w:rsidR="002129DB" w:rsidRPr="00872429">
        <w:rPr>
          <w:rFonts w:ascii="Arial" w:hAnsi="Arial" w:cs="Arial"/>
          <w:sz w:val="24"/>
        </w:rPr>
        <w:t>da identificação</w:t>
      </w:r>
      <w:r w:rsidR="00066E5D" w:rsidRPr="00872429">
        <w:rPr>
          <w:rFonts w:ascii="Arial" w:hAnsi="Arial" w:cs="Arial"/>
          <w:sz w:val="24"/>
        </w:rPr>
        <w:t xml:space="preserve"> </w:t>
      </w:r>
      <w:r w:rsidR="002129DB" w:rsidRPr="00872429">
        <w:rPr>
          <w:rFonts w:ascii="Arial" w:hAnsi="Arial" w:cs="Arial"/>
          <w:sz w:val="24"/>
        </w:rPr>
        <w:t>d</w:t>
      </w:r>
      <w:r w:rsidRPr="00872429">
        <w:rPr>
          <w:rFonts w:ascii="Arial" w:hAnsi="Arial" w:cs="Arial"/>
          <w:sz w:val="24"/>
        </w:rPr>
        <w:t>os fabricantes dos 20 fármacos</w:t>
      </w:r>
      <w:r w:rsidR="00066E5D" w:rsidRPr="00872429">
        <w:rPr>
          <w:rFonts w:ascii="Arial" w:hAnsi="Arial" w:cs="Arial"/>
          <w:sz w:val="24"/>
        </w:rPr>
        <w:t xml:space="preserve"> </w:t>
      </w:r>
      <w:r w:rsidR="002129DB" w:rsidRPr="00872429">
        <w:rPr>
          <w:rFonts w:ascii="Arial" w:hAnsi="Arial" w:cs="Arial"/>
          <w:sz w:val="24"/>
        </w:rPr>
        <w:t>no Br</w:t>
      </w:r>
      <w:r w:rsidR="00542258" w:rsidRPr="00872429">
        <w:rPr>
          <w:rFonts w:ascii="Arial" w:hAnsi="Arial" w:cs="Arial"/>
          <w:sz w:val="24"/>
        </w:rPr>
        <w:t>asil</w:t>
      </w:r>
      <w:r w:rsidRPr="00872429">
        <w:rPr>
          <w:rFonts w:ascii="Arial" w:hAnsi="Arial" w:cs="Arial"/>
          <w:sz w:val="24"/>
        </w:rPr>
        <w:t>, foi possível acessar</w:t>
      </w:r>
      <w:r w:rsidR="00066E5D" w:rsidRPr="00872429">
        <w:rPr>
          <w:rFonts w:ascii="Arial" w:hAnsi="Arial" w:cs="Arial"/>
          <w:sz w:val="24"/>
        </w:rPr>
        <w:t xml:space="preserve"> </w:t>
      </w:r>
      <w:r w:rsidR="00404EA3" w:rsidRPr="00872429">
        <w:rPr>
          <w:rFonts w:ascii="Arial" w:hAnsi="Arial" w:cs="Arial"/>
          <w:sz w:val="24"/>
        </w:rPr>
        <w:t>as</w:t>
      </w:r>
      <w:r w:rsidR="00066E5D" w:rsidRPr="00872429">
        <w:rPr>
          <w:rFonts w:ascii="Arial" w:hAnsi="Arial" w:cs="Arial"/>
          <w:sz w:val="24"/>
        </w:rPr>
        <w:t xml:space="preserve"> </w:t>
      </w:r>
      <w:r w:rsidRPr="00872429">
        <w:rPr>
          <w:rFonts w:ascii="Arial" w:hAnsi="Arial" w:cs="Arial"/>
          <w:sz w:val="24"/>
        </w:rPr>
        <w:t xml:space="preserve">informações sobre as empresas que possuem cadastro desses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na </w:t>
      </w:r>
      <w:proofErr w:type="gramStart"/>
      <w:r w:rsidRPr="00872429">
        <w:rPr>
          <w:rFonts w:ascii="Arial" w:hAnsi="Arial" w:cs="Arial"/>
          <w:sz w:val="24"/>
        </w:rPr>
        <w:t>ANVISA</w:t>
      </w:r>
      <w:r w:rsidR="00542258" w:rsidRPr="00872429">
        <w:rPr>
          <w:rFonts w:ascii="Arial" w:hAnsi="Arial" w:cs="Arial"/>
          <w:sz w:val="24"/>
        </w:rPr>
        <w:t>(</w:t>
      </w:r>
      <w:proofErr w:type="gramEnd"/>
      <w:r w:rsidR="00542258" w:rsidRPr="00872429">
        <w:rPr>
          <w:rFonts w:ascii="Arial" w:hAnsi="Arial" w:cs="Arial"/>
          <w:sz w:val="24"/>
        </w:rPr>
        <w:t>A</w:t>
      </w:r>
      <w:r w:rsidR="00205B1F" w:rsidRPr="00872429">
        <w:rPr>
          <w:rFonts w:ascii="Arial" w:hAnsi="Arial" w:cs="Arial"/>
          <w:sz w:val="24"/>
        </w:rPr>
        <w:t>gência Nacional de Vigilância Sanitária</w:t>
      </w:r>
      <w:r w:rsidR="00542258" w:rsidRPr="00872429">
        <w:rPr>
          <w:rFonts w:ascii="Arial" w:hAnsi="Arial" w:cs="Arial"/>
          <w:sz w:val="24"/>
        </w:rPr>
        <w:t>, 2012)</w:t>
      </w:r>
      <w:r w:rsidR="00066E5D" w:rsidRPr="00872429">
        <w:rPr>
          <w:rFonts w:ascii="Arial" w:hAnsi="Arial" w:cs="Arial"/>
          <w:sz w:val="24"/>
          <w:vertAlign w:val="superscript"/>
        </w:rPr>
        <w:t>19</w:t>
      </w:r>
      <w:r w:rsidR="007D3524" w:rsidRPr="00872429">
        <w:rPr>
          <w:rFonts w:ascii="Arial" w:hAnsi="Arial" w:cs="Arial"/>
          <w:sz w:val="24"/>
          <w:vertAlign w:val="superscript"/>
        </w:rPr>
        <w:t>,23</w:t>
      </w:r>
      <w:r w:rsidRPr="00872429">
        <w:rPr>
          <w:rFonts w:ascii="Arial" w:hAnsi="Arial" w:cs="Arial"/>
          <w:sz w:val="24"/>
        </w:rPr>
        <w:t>.</w:t>
      </w:r>
      <w:r w:rsidR="00066E5D" w:rsidRPr="00872429">
        <w:rPr>
          <w:rFonts w:ascii="Arial" w:hAnsi="Arial" w:cs="Arial"/>
          <w:sz w:val="24"/>
        </w:rPr>
        <w:t xml:space="preserve"> </w:t>
      </w:r>
      <w:r w:rsidRPr="00872429">
        <w:rPr>
          <w:rFonts w:ascii="Arial" w:hAnsi="Arial" w:cs="Arial"/>
          <w:sz w:val="24"/>
        </w:rPr>
        <w:t xml:space="preserve">O cadastro de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na ANVISA passou a ser obrigatório por força da publicação da RDC n° 30/08</w:t>
      </w:r>
      <w:r w:rsidR="00542258" w:rsidRPr="00872429">
        <w:rPr>
          <w:rFonts w:ascii="Arial" w:hAnsi="Arial" w:cs="Arial"/>
          <w:sz w:val="24"/>
        </w:rPr>
        <w:t>(</w:t>
      </w:r>
      <w:r w:rsidR="00205B1F" w:rsidRPr="00872429">
        <w:rPr>
          <w:rFonts w:ascii="Arial" w:hAnsi="Arial" w:cs="Arial"/>
          <w:sz w:val="24"/>
        </w:rPr>
        <w:t>Agência Nacional de Vigilância Sanitária</w:t>
      </w:r>
      <w:r w:rsidR="00542258" w:rsidRPr="00872429">
        <w:rPr>
          <w:rFonts w:ascii="Arial" w:hAnsi="Arial" w:cs="Arial"/>
          <w:sz w:val="24"/>
        </w:rPr>
        <w:t>, 2008)</w:t>
      </w:r>
      <w:r w:rsidR="00066E5D" w:rsidRPr="00872429">
        <w:rPr>
          <w:rFonts w:ascii="Arial" w:hAnsi="Arial" w:cs="Arial"/>
          <w:sz w:val="24"/>
          <w:vertAlign w:val="superscript"/>
        </w:rPr>
        <w:t>20</w:t>
      </w:r>
      <w:r w:rsidRPr="00872429">
        <w:rPr>
          <w:rFonts w:ascii="Arial" w:hAnsi="Arial" w:cs="Arial"/>
          <w:sz w:val="24"/>
        </w:rPr>
        <w:t xml:space="preserve"> e tem por objetivo identificar </w:t>
      </w:r>
      <w:r w:rsidR="00BB7472" w:rsidRPr="00872429">
        <w:rPr>
          <w:rFonts w:ascii="Arial" w:hAnsi="Arial" w:cs="Arial"/>
          <w:sz w:val="24"/>
        </w:rPr>
        <w:t xml:space="preserve">as empresas </w:t>
      </w:r>
      <w:r w:rsidR="005D07BF" w:rsidRPr="00872429">
        <w:rPr>
          <w:rFonts w:ascii="Arial" w:hAnsi="Arial" w:cs="Arial"/>
          <w:sz w:val="24"/>
        </w:rPr>
        <w:t>que</w:t>
      </w:r>
      <w:r w:rsidRPr="00872429">
        <w:rPr>
          <w:rFonts w:ascii="Arial" w:hAnsi="Arial" w:cs="Arial"/>
          <w:sz w:val="24"/>
        </w:rPr>
        <w:t xml:space="preserve"> fabrica</w:t>
      </w:r>
      <w:r w:rsidR="005D07BF" w:rsidRPr="00872429">
        <w:rPr>
          <w:rFonts w:ascii="Arial" w:hAnsi="Arial" w:cs="Arial"/>
          <w:sz w:val="24"/>
        </w:rPr>
        <w:t>m</w:t>
      </w:r>
      <w:r w:rsidRPr="00872429">
        <w:rPr>
          <w:rFonts w:ascii="Arial" w:hAnsi="Arial" w:cs="Arial"/>
          <w:sz w:val="24"/>
        </w:rPr>
        <w:t>, importa</w:t>
      </w:r>
      <w:r w:rsidR="005D07BF" w:rsidRPr="00872429">
        <w:rPr>
          <w:rFonts w:ascii="Arial" w:hAnsi="Arial" w:cs="Arial"/>
          <w:sz w:val="24"/>
        </w:rPr>
        <w:t>m</w:t>
      </w:r>
      <w:r w:rsidRPr="00872429">
        <w:rPr>
          <w:rFonts w:ascii="Arial" w:hAnsi="Arial" w:cs="Arial"/>
          <w:sz w:val="24"/>
        </w:rPr>
        <w:t>, exporta</w:t>
      </w:r>
      <w:r w:rsidR="005D07BF" w:rsidRPr="00872429">
        <w:rPr>
          <w:rFonts w:ascii="Arial" w:hAnsi="Arial" w:cs="Arial"/>
          <w:sz w:val="24"/>
        </w:rPr>
        <w:t>m, fracionam</w:t>
      </w:r>
      <w:r w:rsidRPr="00872429">
        <w:rPr>
          <w:rFonts w:ascii="Arial" w:hAnsi="Arial" w:cs="Arial"/>
          <w:sz w:val="24"/>
        </w:rPr>
        <w:t>, exped</w:t>
      </w:r>
      <w:r w:rsidR="005D07BF" w:rsidRPr="00872429">
        <w:rPr>
          <w:rFonts w:ascii="Arial" w:hAnsi="Arial" w:cs="Arial"/>
          <w:sz w:val="24"/>
        </w:rPr>
        <w:t xml:space="preserve">em ou distribuem </w:t>
      </w:r>
      <w:proofErr w:type="spellStart"/>
      <w:r w:rsidR="005D07BF" w:rsidRPr="00872429">
        <w:rPr>
          <w:rFonts w:ascii="Arial" w:hAnsi="Arial" w:cs="Arial"/>
          <w:sz w:val="24"/>
        </w:rPr>
        <w:t>IFAs</w:t>
      </w:r>
      <w:proofErr w:type="spellEnd"/>
      <w:r w:rsidR="005D07BF" w:rsidRPr="00872429">
        <w:rPr>
          <w:rFonts w:ascii="Arial" w:hAnsi="Arial" w:cs="Arial"/>
          <w:sz w:val="24"/>
        </w:rPr>
        <w:t xml:space="preserve"> no Brasil</w:t>
      </w:r>
      <w:r w:rsidRPr="00872429">
        <w:rPr>
          <w:rFonts w:ascii="Arial" w:hAnsi="Arial" w:cs="Arial"/>
          <w:sz w:val="24"/>
        </w:rPr>
        <w:t>. Ele é o marco regulatório precursor do registro.</w:t>
      </w:r>
    </w:p>
    <w:p w:rsidR="00BE3213" w:rsidRPr="00872429" w:rsidRDefault="00EF79AA" w:rsidP="00BE3213">
      <w:pPr>
        <w:tabs>
          <w:tab w:val="left" w:pos="1455"/>
          <w:tab w:val="left" w:pos="4980"/>
        </w:tabs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>A</w:t>
      </w:r>
      <w:r w:rsidR="00066E5D" w:rsidRPr="00872429">
        <w:rPr>
          <w:rFonts w:ascii="Arial" w:hAnsi="Arial" w:cs="Arial"/>
          <w:sz w:val="24"/>
        </w:rPr>
        <w:t xml:space="preserve"> </w:t>
      </w:r>
      <w:r w:rsidR="0074035A" w:rsidRPr="00872429">
        <w:rPr>
          <w:rFonts w:ascii="Arial" w:hAnsi="Arial" w:cs="Arial"/>
          <w:sz w:val="24"/>
        </w:rPr>
        <w:t>ANVISA</w:t>
      </w:r>
      <w:r w:rsidR="00740915" w:rsidRPr="00872429">
        <w:rPr>
          <w:rFonts w:ascii="Arial" w:hAnsi="Arial" w:cs="Arial"/>
          <w:sz w:val="24"/>
        </w:rPr>
        <w:t xml:space="preserve">, </w:t>
      </w:r>
      <w:r w:rsidR="00532AF3" w:rsidRPr="00872429">
        <w:rPr>
          <w:rFonts w:ascii="Arial" w:hAnsi="Arial" w:cs="Arial"/>
          <w:sz w:val="24"/>
        </w:rPr>
        <w:t>atualmente</w:t>
      </w:r>
      <w:r w:rsidR="00740915" w:rsidRPr="00872429">
        <w:rPr>
          <w:rFonts w:ascii="Arial" w:hAnsi="Arial" w:cs="Arial"/>
          <w:sz w:val="24"/>
        </w:rPr>
        <w:t>,</w:t>
      </w:r>
      <w:r w:rsidR="00532AF3" w:rsidRPr="00872429">
        <w:rPr>
          <w:rFonts w:ascii="Arial" w:hAnsi="Arial" w:cs="Arial"/>
          <w:sz w:val="24"/>
        </w:rPr>
        <w:t xml:space="preserve"> disponibiliza a relação de </w:t>
      </w:r>
      <w:proofErr w:type="spellStart"/>
      <w:r w:rsidR="00532AF3" w:rsidRPr="00872429">
        <w:rPr>
          <w:rFonts w:ascii="Arial" w:hAnsi="Arial" w:cs="Arial"/>
          <w:sz w:val="24"/>
        </w:rPr>
        <w:t>IFAs</w:t>
      </w:r>
      <w:proofErr w:type="spellEnd"/>
      <w:r w:rsidR="00532AF3" w:rsidRPr="00872429">
        <w:rPr>
          <w:rFonts w:ascii="Arial" w:hAnsi="Arial" w:cs="Arial"/>
          <w:sz w:val="24"/>
        </w:rPr>
        <w:t xml:space="preserve"> cadastrados por empresa</w:t>
      </w:r>
      <w:r w:rsidR="00740915" w:rsidRPr="00872429">
        <w:rPr>
          <w:rFonts w:ascii="Arial" w:hAnsi="Arial" w:cs="Arial"/>
          <w:sz w:val="24"/>
        </w:rPr>
        <w:t>. A partir destes dados</w:t>
      </w:r>
      <w:r w:rsidRPr="00872429">
        <w:rPr>
          <w:rFonts w:ascii="Arial" w:hAnsi="Arial" w:cs="Arial"/>
          <w:sz w:val="24"/>
        </w:rPr>
        <w:t xml:space="preserve"> foi </w:t>
      </w:r>
      <w:r w:rsidR="008513B1" w:rsidRPr="00872429">
        <w:rPr>
          <w:rFonts w:ascii="Arial" w:hAnsi="Arial" w:cs="Arial"/>
          <w:sz w:val="24"/>
        </w:rPr>
        <w:t>elaborada uma relação de</w:t>
      </w:r>
      <w:r w:rsidR="00E30CBF" w:rsidRPr="00872429">
        <w:rPr>
          <w:rFonts w:ascii="Arial" w:hAnsi="Arial" w:cs="Arial"/>
          <w:sz w:val="24"/>
        </w:rPr>
        <w:t xml:space="preserve"> empresas </w:t>
      </w:r>
      <w:r w:rsidR="008513B1" w:rsidRPr="00872429">
        <w:rPr>
          <w:rFonts w:ascii="Arial" w:hAnsi="Arial" w:cs="Arial"/>
          <w:sz w:val="24"/>
        </w:rPr>
        <w:t>com</w:t>
      </w:r>
      <w:r w:rsidR="00E30CBF" w:rsidRPr="00872429">
        <w:rPr>
          <w:rFonts w:ascii="Arial" w:hAnsi="Arial" w:cs="Arial"/>
          <w:sz w:val="24"/>
        </w:rPr>
        <w:t xml:space="preserve"> cada</w:t>
      </w:r>
      <w:r w:rsidR="008513B1" w:rsidRPr="00872429">
        <w:rPr>
          <w:rFonts w:ascii="Arial" w:hAnsi="Arial" w:cs="Arial"/>
          <w:sz w:val="24"/>
        </w:rPr>
        <w:t xml:space="preserve">stro desses 20 </w:t>
      </w:r>
      <w:proofErr w:type="spellStart"/>
      <w:r w:rsidR="008513B1" w:rsidRPr="00872429">
        <w:rPr>
          <w:rFonts w:ascii="Arial" w:hAnsi="Arial" w:cs="Arial"/>
          <w:sz w:val="24"/>
        </w:rPr>
        <w:t>IFAs</w:t>
      </w:r>
      <w:proofErr w:type="spellEnd"/>
      <w:r w:rsidR="008513B1" w:rsidRPr="00872429">
        <w:rPr>
          <w:rFonts w:ascii="Arial" w:hAnsi="Arial" w:cs="Arial"/>
          <w:sz w:val="24"/>
        </w:rPr>
        <w:t xml:space="preserve"> na </w:t>
      </w:r>
      <w:r w:rsidR="0074035A" w:rsidRPr="00872429">
        <w:rPr>
          <w:rFonts w:ascii="Arial" w:hAnsi="Arial" w:cs="Arial"/>
          <w:sz w:val="24"/>
        </w:rPr>
        <w:t>agência</w:t>
      </w:r>
      <w:r w:rsidRPr="00872429">
        <w:rPr>
          <w:rFonts w:ascii="Arial" w:hAnsi="Arial" w:cs="Arial"/>
          <w:sz w:val="24"/>
        </w:rPr>
        <w:t xml:space="preserve">. </w:t>
      </w:r>
      <w:r w:rsidR="008513B1" w:rsidRPr="00872429">
        <w:rPr>
          <w:rFonts w:ascii="Arial" w:hAnsi="Arial" w:cs="Arial"/>
          <w:sz w:val="24"/>
        </w:rPr>
        <w:t>Dessa relação, foi possível</w:t>
      </w:r>
      <w:r w:rsidR="00066E5D" w:rsidRPr="00872429">
        <w:rPr>
          <w:rFonts w:ascii="Arial" w:hAnsi="Arial" w:cs="Arial"/>
          <w:sz w:val="24"/>
        </w:rPr>
        <w:t xml:space="preserve"> </w:t>
      </w:r>
      <w:r w:rsidR="008513B1" w:rsidRPr="00872429">
        <w:rPr>
          <w:rFonts w:ascii="Arial" w:hAnsi="Arial" w:cs="Arial"/>
          <w:sz w:val="24"/>
        </w:rPr>
        <w:t xml:space="preserve">concluir </w:t>
      </w:r>
      <w:r w:rsidR="00E30CBF" w:rsidRPr="00872429">
        <w:rPr>
          <w:rFonts w:ascii="Arial" w:hAnsi="Arial" w:cs="Arial"/>
          <w:sz w:val="24"/>
        </w:rPr>
        <w:t xml:space="preserve">que a grande maioria das empresas com cadastro não são fabricantes dos </w:t>
      </w:r>
      <w:proofErr w:type="spellStart"/>
      <w:r w:rsidR="00E30CBF" w:rsidRPr="00872429">
        <w:rPr>
          <w:rFonts w:ascii="Arial" w:hAnsi="Arial" w:cs="Arial"/>
          <w:sz w:val="24"/>
        </w:rPr>
        <w:t>IFAs</w:t>
      </w:r>
      <w:proofErr w:type="spellEnd"/>
      <w:r w:rsidR="00E30CBF" w:rsidRPr="00872429">
        <w:rPr>
          <w:rFonts w:ascii="Arial" w:hAnsi="Arial" w:cs="Arial"/>
          <w:sz w:val="24"/>
        </w:rPr>
        <w:t xml:space="preserve">, mas sim importadoras. Essas informações, no entanto, não revelam o tipo de atividade que a empresa está autorizada a realizar. Porém, acessando </w:t>
      </w:r>
      <w:r w:rsidR="00250979" w:rsidRPr="00872429">
        <w:rPr>
          <w:rFonts w:ascii="Arial" w:hAnsi="Arial" w:cs="Arial"/>
          <w:sz w:val="24"/>
        </w:rPr>
        <w:t xml:space="preserve">o </w:t>
      </w:r>
      <w:r w:rsidR="00532AF3" w:rsidRPr="00872429">
        <w:rPr>
          <w:rFonts w:ascii="Arial" w:hAnsi="Arial" w:cs="Arial"/>
          <w:sz w:val="24"/>
        </w:rPr>
        <w:t xml:space="preserve">Index </w:t>
      </w:r>
      <w:proofErr w:type="gramStart"/>
      <w:r w:rsidR="00532AF3" w:rsidRPr="00872429">
        <w:rPr>
          <w:rFonts w:ascii="Arial" w:hAnsi="Arial" w:cs="Arial"/>
          <w:sz w:val="24"/>
        </w:rPr>
        <w:t>ABIQUIFI</w:t>
      </w:r>
      <w:r w:rsidR="00781673" w:rsidRPr="00872429">
        <w:rPr>
          <w:rFonts w:ascii="Arial" w:hAnsi="Arial" w:cs="Arial"/>
          <w:sz w:val="24"/>
        </w:rPr>
        <w:t>(</w:t>
      </w:r>
      <w:proofErr w:type="gramEnd"/>
      <w:r w:rsidR="00781673" w:rsidRPr="00872429">
        <w:rPr>
          <w:rFonts w:ascii="Arial" w:eastAsia="Times New Roman" w:hAnsi="Arial" w:cs="Arial"/>
          <w:sz w:val="24"/>
          <w:lang w:eastAsia="pt-BR"/>
        </w:rPr>
        <w:t>Associação Brasileira da Indústria Farmoquímica e de Insumos Farmacêuticos)</w:t>
      </w:r>
      <w:r w:rsidR="00066E5D" w:rsidRPr="00872429">
        <w:rPr>
          <w:rFonts w:ascii="Arial" w:hAnsi="Arial" w:cs="Arial"/>
          <w:sz w:val="24"/>
          <w:vertAlign w:val="superscript"/>
        </w:rPr>
        <w:t>21</w:t>
      </w:r>
      <w:r w:rsidR="00CC63F6" w:rsidRPr="00872429">
        <w:rPr>
          <w:rFonts w:ascii="Arial" w:hAnsi="Arial" w:cs="Arial"/>
          <w:sz w:val="24"/>
        </w:rPr>
        <w:t xml:space="preserve">, </w:t>
      </w:r>
      <w:r w:rsidR="00250979" w:rsidRPr="00872429">
        <w:rPr>
          <w:rFonts w:ascii="Arial" w:hAnsi="Arial" w:cs="Arial"/>
          <w:sz w:val="24"/>
        </w:rPr>
        <w:t>a base de dados de registro de m</w:t>
      </w:r>
      <w:r w:rsidR="00CC63F6" w:rsidRPr="00872429">
        <w:rPr>
          <w:rFonts w:ascii="Arial" w:hAnsi="Arial" w:cs="Arial"/>
          <w:sz w:val="24"/>
        </w:rPr>
        <w:t>edicamentos(</w:t>
      </w:r>
      <w:r w:rsidR="00781673" w:rsidRPr="00872429">
        <w:rPr>
          <w:rFonts w:ascii="Arial" w:hAnsi="Arial" w:cs="Arial"/>
          <w:sz w:val="24"/>
        </w:rPr>
        <w:t>Agência Nacional de Vigilância Sanitária</w:t>
      </w:r>
      <w:r w:rsidR="00250979" w:rsidRPr="00872429">
        <w:rPr>
          <w:rFonts w:ascii="Arial" w:hAnsi="Arial" w:cs="Arial"/>
          <w:sz w:val="24"/>
        </w:rPr>
        <w:t>, 2012)</w:t>
      </w:r>
      <w:r w:rsidR="00066E5D" w:rsidRPr="00872429">
        <w:rPr>
          <w:rFonts w:ascii="Arial" w:hAnsi="Arial" w:cs="Arial"/>
          <w:sz w:val="24"/>
          <w:vertAlign w:val="superscript"/>
        </w:rPr>
        <w:t>22</w:t>
      </w:r>
      <w:r w:rsidR="00A206C0" w:rsidRPr="00872429">
        <w:rPr>
          <w:rFonts w:ascii="Arial" w:hAnsi="Arial" w:cs="Arial"/>
          <w:sz w:val="24"/>
          <w:vertAlign w:val="superscript"/>
        </w:rPr>
        <w:t>,24</w:t>
      </w:r>
      <w:r w:rsidR="00250979" w:rsidRPr="00872429">
        <w:rPr>
          <w:rFonts w:ascii="Arial" w:hAnsi="Arial" w:cs="Arial"/>
          <w:sz w:val="24"/>
        </w:rPr>
        <w:t xml:space="preserve"> e os registros de </w:t>
      </w:r>
      <w:proofErr w:type="spellStart"/>
      <w:r w:rsidR="00250979" w:rsidRPr="00872429">
        <w:rPr>
          <w:rFonts w:ascii="Arial" w:hAnsi="Arial" w:cs="Arial"/>
          <w:sz w:val="24"/>
        </w:rPr>
        <w:t>IFAs</w:t>
      </w:r>
      <w:proofErr w:type="spellEnd"/>
      <w:r w:rsidR="00250979" w:rsidRPr="00872429">
        <w:rPr>
          <w:rFonts w:ascii="Arial" w:hAnsi="Arial" w:cs="Arial"/>
          <w:sz w:val="24"/>
        </w:rPr>
        <w:t xml:space="preserve"> concedidos</w:t>
      </w:r>
      <w:r w:rsidR="00066E5D" w:rsidRPr="00872429">
        <w:rPr>
          <w:rFonts w:ascii="Arial" w:hAnsi="Arial" w:cs="Arial"/>
          <w:sz w:val="24"/>
          <w:vertAlign w:val="superscript"/>
        </w:rPr>
        <w:t>23</w:t>
      </w:r>
      <w:r w:rsidR="00066E5D" w:rsidRPr="00872429">
        <w:rPr>
          <w:rFonts w:ascii="Arial" w:hAnsi="Arial" w:cs="Arial"/>
          <w:sz w:val="24"/>
        </w:rPr>
        <w:t xml:space="preserve"> </w:t>
      </w:r>
      <w:r w:rsidR="00E30CBF" w:rsidRPr="00872429">
        <w:rPr>
          <w:rFonts w:ascii="Arial" w:hAnsi="Arial" w:cs="Arial"/>
          <w:sz w:val="24"/>
        </w:rPr>
        <w:t xml:space="preserve">foi possível classificar as empresas em fabricantes de </w:t>
      </w:r>
      <w:proofErr w:type="spellStart"/>
      <w:r w:rsidR="00E30CBF" w:rsidRPr="00872429">
        <w:rPr>
          <w:rFonts w:ascii="Arial" w:hAnsi="Arial" w:cs="Arial"/>
          <w:sz w:val="24"/>
        </w:rPr>
        <w:t>IFAs</w:t>
      </w:r>
      <w:proofErr w:type="spellEnd"/>
      <w:r w:rsidR="00E30CBF" w:rsidRPr="00872429">
        <w:rPr>
          <w:rFonts w:ascii="Arial" w:hAnsi="Arial" w:cs="Arial"/>
          <w:sz w:val="24"/>
        </w:rPr>
        <w:t xml:space="preserve">, distribuidoras de </w:t>
      </w:r>
      <w:proofErr w:type="spellStart"/>
      <w:r w:rsidR="00E30CBF" w:rsidRPr="00872429">
        <w:rPr>
          <w:rFonts w:ascii="Arial" w:hAnsi="Arial" w:cs="Arial"/>
          <w:sz w:val="24"/>
        </w:rPr>
        <w:t>IFAs</w:t>
      </w:r>
      <w:proofErr w:type="spellEnd"/>
      <w:r w:rsidR="00E30CBF" w:rsidRPr="00872429">
        <w:rPr>
          <w:rFonts w:ascii="Arial" w:hAnsi="Arial" w:cs="Arial"/>
          <w:sz w:val="24"/>
        </w:rPr>
        <w:t xml:space="preserve"> e indústrias farmacêuticas que formulam o medicamento no Brasil. Neste último caso, somente esses laboratórios são obrigados a cadastrá-los; os que importam o medicamento pronto, não.</w:t>
      </w:r>
    </w:p>
    <w:p w:rsidR="009B34FB" w:rsidRPr="00872429" w:rsidRDefault="00E30CBF" w:rsidP="009B34FB">
      <w:pPr>
        <w:tabs>
          <w:tab w:val="left" w:pos="1455"/>
          <w:tab w:val="left" w:pos="4980"/>
        </w:tabs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 xml:space="preserve">Ao fazer-se uma análise da </w:t>
      </w:r>
      <w:r w:rsidR="00817A50" w:rsidRPr="00872429">
        <w:rPr>
          <w:rFonts w:ascii="Arial" w:hAnsi="Arial" w:cs="Arial"/>
          <w:sz w:val="24"/>
        </w:rPr>
        <w:t xml:space="preserve">relação </w:t>
      </w:r>
      <w:r w:rsidR="00740915" w:rsidRPr="00872429">
        <w:rPr>
          <w:rFonts w:ascii="Arial" w:hAnsi="Arial" w:cs="Arial"/>
          <w:sz w:val="24"/>
        </w:rPr>
        <w:t>mencionada</w:t>
      </w:r>
      <w:r w:rsidR="00817A50" w:rsidRPr="00872429">
        <w:rPr>
          <w:rFonts w:ascii="Arial" w:hAnsi="Arial" w:cs="Arial"/>
          <w:sz w:val="24"/>
        </w:rPr>
        <w:t xml:space="preserve"> acima</w:t>
      </w:r>
      <w:r w:rsidRPr="00872429">
        <w:rPr>
          <w:rFonts w:ascii="Arial" w:hAnsi="Arial" w:cs="Arial"/>
          <w:sz w:val="24"/>
        </w:rPr>
        <w:t>,</w:t>
      </w:r>
      <w:r w:rsidR="00066E5D" w:rsidRPr="00872429">
        <w:rPr>
          <w:rFonts w:ascii="Arial" w:hAnsi="Arial" w:cs="Arial"/>
          <w:sz w:val="24"/>
        </w:rPr>
        <w:t xml:space="preserve"> </w:t>
      </w:r>
      <w:r w:rsidRPr="00872429">
        <w:rPr>
          <w:rFonts w:ascii="Arial" w:hAnsi="Arial" w:cs="Arial"/>
          <w:sz w:val="24"/>
        </w:rPr>
        <w:t xml:space="preserve">contabilizou-se um total de 43 diferentes empresas que cadastraram os 20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(inclusive cinco das seis fabricantes no Brasil).</w:t>
      </w:r>
    </w:p>
    <w:p w:rsidR="00E30CBF" w:rsidRPr="00872429" w:rsidRDefault="00E30CBF" w:rsidP="009B34FB">
      <w:pPr>
        <w:tabs>
          <w:tab w:val="left" w:pos="1455"/>
          <w:tab w:val="left" w:pos="4980"/>
        </w:tabs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 xml:space="preserve">Segundo dados da ANVISA (2011), China e Índia são os países </w:t>
      </w:r>
      <w:r w:rsidR="008038B0" w:rsidRPr="00872429">
        <w:rPr>
          <w:rFonts w:ascii="Arial" w:hAnsi="Arial" w:cs="Arial"/>
          <w:sz w:val="24"/>
        </w:rPr>
        <w:t xml:space="preserve">com empresas </w:t>
      </w:r>
      <w:r w:rsidRPr="00872429">
        <w:rPr>
          <w:rFonts w:ascii="Arial" w:hAnsi="Arial" w:cs="Arial"/>
          <w:sz w:val="24"/>
        </w:rPr>
        <w:t>fabricantes mais cadastrados pela agência. Juntos, estes dois países respondem por 78% dos cadastros de todos os insumos</w:t>
      </w:r>
      <w:r w:rsidR="00313A6A" w:rsidRPr="00872429">
        <w:rPr>
          <w:rFonts w:ascii="Arial" w:hAnsi="Arial" w:cs="Arial"/>
          <w:sz w:val="24"/>
        </w:rPr>
        <w:t xml:space="preserve"> consumidos no Brasil</w:t>
      </w:r>
      <w:r w:rsidRPr="00872429">
        <w:rPr>
          <w:rFonts w:ascii="Arial" w:hAnsi="Arial" w:cs="Arial"/>
          <w:sz w:val="24"/>
        </w:rPr>
        <w:t xml:space="preserve">: a China com 48% e a Índia com 30%. </w:t>
      </w:r>
      <w:r w:rsidR="00313A6A" w:rsidRPr="00872429">
        <w:rPr>
          <w:rFonts w:ascii="Arial" w:hAnsi="Arial" w:cs="Arial"/>
          <w:sz w:val="24"/>
        </w:rPr>
        <w:t xml:space="preserve">A União Europeia, com 17%, vem em seguida, com os Estados Unidos contabilizando 2% e </w:t>
      </w:r>
      <w:r w:rsidR="002C0AE8" w:rsidRPr="00872429">
        <w:rPr>
          <w:rFonts w:ascii="Arial" w:hAnsi="Arial" w:cs="Arial"/>
          <w:sz w:val="24"/>
        </w:rPr>
        <w:t>“</w:t>
      </w:r>
      <w:r w:rsidR="00313A6A" w:rsidRPr="00872429">
        <w:rPr>
          <w:rFonts w:ascii="Arial" w:hAnsi="Arial" w:cs="Arial"/>
          <w:sz w:val="24"/>
        </w:rPr>
        <w:t>Outros</w:t>
      </w:r>
      <w:r w:rsidR="002C0AE8" w:rsidRPr="00872429">
        <w:rPr>
          <w:rFonts w:ascii="Arial" w:hAnsi="Arial" w:cs="Arial"/>
          <w:sz w:val="24"/>
        </w:rPr>
        <w:t>”</w:t>
      </w:r>
      <w:r w:rsidR="00313A6A" w:rsidRPr="00872429">
        <w:rPr>
          <w:rFonts w:ascii="Arial" w:hAnsi="Arial" w:cs="Arial"/>
          <w:sz w:val="24"/>
        </w:rPr>
        <w:t>, 3%. O Brasil nesse levantamento r</w:t>
      </w:r>
      <w:r w:rsidR="002500F6" w:rsidRPr="00872429">
        <w:rPr>
          <w:rFonts w:ascii="Arial" w:hAnsi="Arial" w:cs="Arial"/>
          <w:sz w:val="24"/>
        </w:rPr>
        <w:t>espondeu por</w:t>
      </w:r>
      <w:r w:rsidR="00313A6A" w:rsidRPr="00872429">
        <w:rPr>
          <w:rFonts w:ascii="Arial" w:hAnsi="Arial" w:cs="Arial"/>
          <w:sz w:val="24"/>
        </w:rPr>
        <w:t xml:space="preserve"> 2%. </w:t>
      </w:r>
    </w:p>
    <w:p w:rsidR="00E30CBF" w:rsidRPr="00872429" w:rsidRDefault="00250979" w:rsidP="00E30CBF">
      <w:pPr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>O</w:t>
      </w:r>
      <w:r w:rsidR="00DE3631" w:rsidRPr="00872429">
        <w:rPr>
          <w:rFonts w:ascii="Arial" w:hAnsi="Arial" w:cs="Arial"/>
          <w:sz w:val="24"/>
        </w:rPr>
        <w:t xml:space="preserve"> </w:t>
      </w:r>
      <w:r w:rsidR="00AC4343" w:rsidRPr="00872429">
        <w:rPr>
          <w:rFonts w:ascii="Arial" w:hAnsi="Arial" w:cs="Arial"/>
          <w:sz w:val="24"/>
        </w:rPr>
        <w:t>Gráfico</w:t>
      </w:r>
      <w:r w:rsidR="00DE3631" w:rsidRPr="00872429">
        <w:rPr>
          <w:rFonts w:ascii="Arial" w:hAnsi="Arial" w:cs="Arial"/>
          <w:sz w:val="24"/>
        </w:rPr>
        <w:t xml:space="preserve"> </w:t>
      </w:r>
      <w:proofErr w:type="gramStart"/>
      <w:r w:rsidR="00263B16" w:rsidRPr="00872429">
        <w:rPr>
          <w:rFonts w:ascii="Arial" w:hAnsi="Arial" w:cs="Arial"/>
          <w:sz w:val="24"/>
        </w:rPr>
        <w:t>3</w:t>
      </w:r>
      <w:proofErr w:type="gramEnd"/>
      <w:r w:rsidR="00E30CBF" w:rsidRPr="00872429">
        <w:rPr>
          <w:rFonts w:ascii="Arial" w:hAnsi="Arial" w:cs="Arial"/>
          <w:sz w:val="24"/>
        </w:rPr>
        <w:t>, a seguir, representa esses dados consolidados por país/bloco para fins de comparação com aqueles levantados pelo presente estudo (</w:t>
      </w:r>
      <w:r w:rsidR="00AC4343" w:rsidRPr="00872429">
        <w:rPr>
          <w:rFonts w:ascii="Arial" w:hAnsi="Arial" w:cs="Arial"/>
          <w:sz w:val="24"/>
        </w:rPr>
        <w:t>Gráfico</w:t>
      </w:r>
      <w:r w:rsidR="00E30CBF" w:rsidRPr="00872429">
        <w:rPr>
          <w:rFonts w:ascii="Arial" w:hAnsi="Arial" w:cs="Arial"/>
          <w:sz w:val="24"/>
        </w:rPr>
        <w:t xml:space="preserve"> 2), confirmando as </w:t>
      </w:r>
      <w:r w:rsidR="00263B16" w:rsidRPr="00872429">
        <w:rPr>
          <w:rFonts w:ascii="Arial" w:hAnsi="Arial" w:cs="Arial"/>
          <w:sz w:val="24"/>
        </w:rPr>
        <w:t>previsões</w:t>
      </w:r>
      <w:r w:rsidR="00E30CBF" w:rsidRPr="00872429">
        <w:rPr>
          <w:rFonts w:ascii="Arial" w:hAnsi="Arial" w:cs="Arial"/>
          <w:sz w:val="24"/>
        </w:rPr>
        <w:t xml:space="preserve"> da pesquisa.</w:t>
      </w:r>
    </w:p>
    <w:p w:rsidR="00E30CBF" w:rsidRPr="00872429" w:rsidRDefault="00E30CBF" w:rsidP="00E30CBF">
      <w:pPr>
        <w:spacing w:line="240" w:lineRule="auto"/>
        <w:jc w:val="center"/>
        <w:rPr>
          <w:rFonts w:ascii="Arial" w:hAnsi="Arial" w:cs="Arial"/>
          <w:sz w:val="24"/>
        </w:rPr>
      </w:pPr>
    </w:p>
    <w:p w:rsidR="00DE3631" w:rsidRPr="00DE3631" w:rsidRDefault="00DE3631" w:rsidP="00DE3631">
      <w:pPr>
        <w:jc w:val="center"/>
        <w:rPr>
          <w:rFonts w:ascii="Arial" w:hAnsi="Arial" w:cs="Arial"/>
          <w:sz w:val="22"/>
        </w:rPr>
      </w:pPr>
    </w:p>
    <w:p w:rsidR="00DE3631" w:rsidRDefault="00DE3631" w:rsidP="00DE3631">
      <w:pPr>
        <w:jc w:val="center"/>
        <w:rPr>
          <w:sz w:val="22"/>
        </w:rPr>
      </w:pPr>
      <w:r w:rsidRPr="00B3415B">
        <w:rPr>
          <w:noProof/>
          <w:sz w:val="22"/>
          <w:lang w:eastAsia="pt-BR"/>
        </w:rPr>
        <w:lastRenderedPageBreak/>
        <w:drawing>
          <wp:inline distT="0" distB="0" distL="0" distR="0">
            <wp:extent cx="3952875" cy="2743200"/>
            <wp:effectExtent l="38100" t="0" r="0" b="0"/>
            <wp:docPr id="6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E3631" w:rsidRDefault="00DE3631" w:rsidP="00DE3631">
      <w:pPr>
        <w:tabs>
          <w:tab w:val="left" w:pos="1035"/>
        </w:tabs>
        <w:spacing w:before="120"/>
        <w:jc w:val="center"/>
        <w:rPr>
          <w:sz w:val="22"/>
        </w:rPr>
      </w:pPr>
      <w:r w:rsidRPr="00DE3631">
        <w:rPr>
          <w:rFonts w:ascii="Arial" w:hAnsi="Arial" w:cs="Arial"/>
          <w:sz w:val="22"/>
        </w:rPr>
        <w:t xml:space="preserve">Gráfico 3 – Países/blocos fabricantes de </w:t>
      </w:r>
      <w:proofErr w:type="spellStart"/>
      <w:r w:rsidRPr="00DE3631">
        <w:rPr>
          <w:rFonts w:ascii="Arial" w:hAnsi="Arial" w:cs="Arial"/>
          <w:sz w:val="22"/>
        </w:rPr>
        <w:t>IFAs</w:t>
      </w:r>
      <w:proofErr w:type="spellEnd"/>
      <w:r w:rsidRPr="00DE3631">
        <w:rPr>
          <w:rFonts w:ascii="Arial" w:hAnsi="Arial" w:cs="Arial"/>
          <w:sz w:val="22"/>
        </w:rPr>
        <w:t xml:space="preserve"> mais cadastrados na ANVISA</w:t>
      </w:r>
    </w:p>
    <w:p w:rsidR="00DE3631" w:rsidRPr="00DE3631" w:rsidRDefault="00DE3631" w:rsidP="00DE3631">
      <w:pPr>
        <w:tabs>
          <w:tab w:val="left" w:pos="103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 xml:space="preserve">                    </w:t>
      </w:r>
      <w:r w:rsidRPr="00DE3631">
        <w:rPr>
          <w:rFonts w:ascii="Arial" w:hAnsi="Arial" w:cs="Arial"/>
          <w:sz w:val="18"/>
        </w:rPr>
        <w:t>Elaboração própria. Fonte: ANVISA, 2011</w:t>
      </w:r>
    </w:p>
    <w:p w:rsidR="00E30CBF" w:rsidRPr="007A5981" w:rsidRDefault="00E30CBF" w:rsidP="00F55AF1">
      <w:pPr>
        <w:jc w:val="center"/>
        <w:rPr>
          <w:rFonts w:ascii="Arial" w:hAnsi="Arial" w:cs="Arial"/>
          <w:sz w:val="22"/>
        </w:rPr>
      </w:pPr>
    </w:p>
    <w:p w:rsidR="00263B16" w:rsidRPr="007A5981" w:rsidRDefault="00263B16" w:rsidP="00E30CBF">
      <w:pPr>
        <w:tabs>
          <w:tab w:val="left" w:pos="1035"/>
        </w:tabs>
        <w:spacing w:before="120" w:line="240" w:lineRule="auto"/>
        <w:rPr>
          <w:rFonts w:ascii="Arial" w:hAnsi="Arial" w:cs="Arial"/>
          <w:sz w:val="22"/>
        </w:rPr>
        <w:sectPr w:rsidR="00263B16" w:rsidRPr="007A5981" w:rsidSect="00A73E6C">
          <w:footnotePr>
            <w:numFmt w:val="lowerRoman"/>
            <w:numRestart w:val="eachPage"/>
          </w:footnotePr>
          <w:type w:val="continuous"/>
          <w:pgSz w:w="11906" w:h="16838"/>
          <w:pgMar w:top="1134" w:right="1134" w:bottom="1134" w:left="1134" w:header="709" w:footer="709" w:gutter="0"/>
          <w:lnNumType w:countBy="1"/>
          <w:cols w:space="708"/>
          <w:docGrid w:linePitch="360"/>
        </w:sectPr>
      </w:pPr>
    </w:p>
    <w:p w:rsidR="00E30CBF" w:rsidRPr="00872429" w:rsidRDefault="00740915" w:rsidP="00E30CBF">
      <w:pPr>
        <w:tabs>
          <w:tab w:val="left" w:pos="1035"/>
        </w:tabs>
        <w:rPr>
          <w:rFonts w:ascii="Arial" w:hAnsi="Arial" w:cs="Arial"/>
          <w:sz w:val="24"/>
        </w:rPr>
      </w:pPr>
      <w:r w:rsidRPr="007A5981">
        <w:rPr>
          <w:rFonts w:ascii="Arial" w:hAnsi="Arial" w:cs="Arial"/>
          <w:sz w:val="22"/>
        </w:rPr>
        <w:lastRenderedPageBreak/>
        <w:t>No</w:t>
      </w:r>
      <w:r w:rsidR="00263B16" w:rsidRPr="007A5981">
        <w:rPr>
          <w:rFonts w:ascii="Arial" w:hAnsi="Arial" w:cs="Arial"/>
          <w:sz w:val="22"/>
        </w:rPr>
        <w:t>s</w:t>
      </w:r>
      <w:r w:rsidR="00DE3631">
        <w:rPr>
          <w:rFonts w:ascii="Arial" w:hAnsi="Arial" w:cs="Arial"/>
          <w:sz w:val="22"/>
        </w:rPr>
        <w:t xml:space="preserve"> </w:t>
      </w:r>
      <w:r w:rsidR="00AC4343" w:rsidRPr="007A5981">
        <w:rPr>
          <w:rFonts w:ascii="Arial" w:hAnsi="Arial" w:cs="Arial"/>
          <w:sz w:val="22"/>
        </w:rPr>
        <w:t>Gráfico</w:t>
      </w:r>
      <w:r w:rsidR="00055D34" w:rsidRPr="007A5981">
        <w:rPr>
          <w:rFonts w:ascii="Arial" w:hAnsi="Arial" w:cs="Arial"/>
          <w:sz w:val="22"/>
        </w:rPr>
        <w:t>s</w:t>
      </w:r>
      <w:r w:rsidR="00DE3631">
        <w:rPr>
          <w:rFonts w:ascii="Arial" w:hAnsi="Arial" w:cs="Arial"/>
          <w:sz w:val="22"/>
        </w:rPr>
        <w:t xml:space="preserve"> </w:t>
      </w:r>
      <w:proofErr w:type="gramStart"/>
      <w:r w:rsidR="00E30CBF" w:rsidRPr="007A5981">
        <w:rPr>
          <w:rFonts w:ascii="Arial" w:hAnsi="Arial" w:cs="Arial"/>
          <w:sz w:val="22"/>
        </w:rPr>
        <w:t>2</w:t>
      </w:r>
      <w:proofErr w:type="gramEnd"/>
      <w:r w:rsidR="00E30CBF" w:rsidRPr="007A5981">
        <w:rPr>
          <w:rFonts w:ascii="Arial" w:hAnsi="Arial" w:cs="Arial"/>
          <w:sz w:val="22"/>
        </w:rPr>
        <w:t xml:space="preserve"> e </w:t>
      </w:r>
      <w:r w:rsidR="00263B16" w:rsidRPr="007A5981">
        <w:rPr>
          <w:rFonts w:ascii="Arial" w:hAnsi="Arial" w:cs="Arial"/>
          <w:sz w:val="22"/>
        </w:rPr>
        <w:t>3</w:t>
      </w:r>
      <w:r w:rsidR="00E30CBF" w:rsidRPr="007A5981">
        <w:rPr>
          <w:rFonts w:ascii="Arial" w:hAnsi="Arial" w:cs="Arial"/>
          <w:sz w:val="22"/>
        </w:rPr>
        <w:t xml:space="preserve"> é possível observar a mesma tendência de destaque para China e Índia e </w:t>
      </w:r>
      <w:r w:rsidR="00E30CBF" w:rsidRPr="00872429">
        <w:rPr>
          <w:rFonts w:ascii="Arial" w:hAnsi="Arial" w:cs="Arial"/>
          <w:sz w:val="24"/>
        </w:rPr>
        <w:t xml:space="preserve">uma aproximação de percentuais para a União Europeia. Apenas Estados Unidos apresentaram valores bem diferentes, o que permite inferir que bem menos (apenas 20%) do que é fabricado pelos Estados Unidos é cadastrado no Brasil. Além disso, é provável que nem todos os países fabricantes, especialmente os classificados em “Outros”, tenham cadastro na ANVISA, fazendo com </w:t>
      </w:r>
      <w:r w:rsidR="00404EA3" w:rsidRPr="00872429">
        <w:rPr>
          <w:rFonts w:ascii="Arial" w:hAnsi="Arial" w:cs="Arial"/>
          <w:sz w:val="24"/>
        </w:rPr>
        <w:t>que</w:t>
      </w:r>
      <w:r w:rsidR="00672285">
        <w:rPr>
          <w:rFonts w:ascii="Arial" w:hAnsi="Arial" w:cs="Arial"/>
          <w:sz w:val="24"/>
        </w:rPr>
        <w:t xml:space="preserve"> </w:t>
      </w:r>
      <w:r w:rsidR="00E30CBF" w:rsidRPr="00872429">
        <w:rPr>
          <w:rFonts w:ascii="Arial" w:hAnsi="Arial" w:cs="Arial"/>
          <w:sz w:val="24"/>
        </w:rPr>
        <w:t xml:space="preserve">as </w:t>
      </w:r>
      <w:r w:rsidR="00451AFD" w:rsidRPr="00872429">
        <w:rPr>
          <w:rFonts w:ascii="Arial" w:hAnsi="Arial" w:cs="Arial"/>
          <w:sz w:val="24"/>
        </w:rPr>
        <w:t xml:space="preserve">demais </w:t>
      </w:r>
      <w:r w:rsidR="00E30CBF" w:rsidRPr="00872429">
        <w:rPr>
          <w:rFonts w:ascii="Arial" w:hAnsi="Arial" w:cs="Arial"/>
          <w:sz w:val="24"/>
        </w:rPr>
        <w:t xml:space="preserve">participações apresentem-se aumentadas. </w:t>
      </w:r>
    </w:p>
    <w:p w:rsidR="00E30CBF" w:rsidRPr="00872429" w:rsidRDefault="00E30CBF" w:rsidP="00E30CBF">
      <w:pPr>
        <w:tabs>
          <w:tab w:val="left" w:pos="1455"/>
        </w:tabs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>A produção em larga escala (na maioria das vezes de produtos</w:t>
      </w:r>
      <w:r w:rsidR="007E1091" w:rsidRPr="00872429">
        <w:rPr>
          <w:rFonts w:ascii="Arial" w:hAnsi="Arial" w:cs="Arial"/>
          <w:sz w:val="24"/>
        </w:rPr>
        <w:t xml:space="preserve"> fabricados</w:t>
      </w:r>
      <w:r w:rsidR="00DE3631" w:rsidRPr="00872429">
        <w:rPr>
          <w:rFonts w:ascii="Arial" w:hAnsi="Arial" w:cs="Arial"/>
          <w:sz w:val="24"/>
        </w:rPr>
        <w:t xml:space="preserve"> </w:t>
      </w:r>
      <w:r w:rsidR="00391781" w:rsidRPr="00872429">
        <w:rPr>
          <w:rFonts w:ascii="Arial" w:hAnsi="Arial" w:cs="Arial"/>
          <w:sz w:val="24"/>
        </w:rPr>
        <w:t>sem BPF</w:t>
      </w:r>
      <w:r w:rsidR="002C0AE8" w:rsidRPr="00872429">
        <w:rPr>
          <w:rFonts w:ascii="Arial" w:hAnsi="Arial" w:cs="Arial"/>
          <w:sz w:val="24"/>
        </w:rPr>
        <w:t>,</w:t>
      </w:r>
      <w:r w:rsidR="00DE3631" w:rsidRPr="00872429">
        <w:rPr>
          <w:rFonts w:ascii="Arial" w:hAnsi="Arial" w:cs="Arial"/>
          <w:sz w:val="24"/>
        </w:rPr>
        <w:t xml:space="preserve"> </w:t>
      </w:r>
      <w:r w:rsidR="00BF4CBA" w:rsidRPr="00872429">
        <w:rPr>
          <w:rFonts w:ascii="Arial" w:hAnsi="Arial" w:cs="Arial"/>
          <w:sz w:val="24"/>
        </w:rPr>
        <w:t>com baixo custo de produção</w:t>
      </w:r>
      <w:r w:rsidRPr="00872429">
        <w:rPr>
          <w:rFonts w:ascii="Arial" w:hAnsi="Arial" w:cs="Arial"/>
          <w:sz w:val="24"/>
        </w:rPr>
        <w:t>) faz co</w:t>
      </w:r>
      <w:r w:rsidR="00BF4667" w:rsidRPr="00872429">
        <w:rPr>
          <w:rFonts w:ascii="Arial" w:hAnsi="Arial" w:cs="Arial"/>
          <w:sz w:val="24"/>
        </w:rPr>
        <w:t>m que China, principalmente, e Í</w:t>
      </w:r>
      <w:r w:rsidRPr="00872429">
        <w:rPr>
          <w:rFonts w:ascii="Arial" w:hAnsi="Arial" w:cs="Arial"/>
          <w:sz w:val="24"/>
        </w:rPr>
        <w:t>ndia</w:t>
      </w:r>
      <w:r w:rsidR="00BF4667" w:rsidRPr="00872429">
        <w:rPr>
          <w:rFonts w:ascii="Arial" w:hAnsi="Arial" w:cs="Arial"/>
          <w:sz w:val="24"/>
        </w:rPr>
        <w:t>,</w:t>
      </w:r>
      <w:r w:rsidRPr="00872429">
        <w:rPr>
          <w:rFonts w:ascii="Arial" w:hAnsi="Arial" w:cs="Arial"/>
          <w:sz w:val="24"/>
        </w:rPr>
        <w:t xml:space="preserve"> sejam as principais fontes dos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cadastrados e consumidos pelos laboratórios no Brasil</w:t>
      </w:r>
      <w:r w:rsidR="00BF4667" w:rsidRPr="00872429">
        <w:rPr>
          <w:rFonts w:ascii="Arial" w:hAnsi="Arial" w:cs="Arial"/>
          <w:sz w:val="24"/>
        </w:rPr>
        <w:t>,</w:t>
      </w:r>
      <w:r w:rsidRPr="00872429">
        <w:rPr>
          <w:rFonts w:ascii="Arial" w:hAnsi="Arial" w:cs="Arial"/>
          <w:sz w:val="24"/>
        </w:rPr>
        <w:t xml:space="preserve"> como confirmado pelo levantamento das origens das importações conduzido pelo estudo, pelo menos enquanto os efeitos da obrigatoriedade do registro não se fazem sentir no setor.</w:t>
      </w:r>
    </w:p>
    <w:p w:rsidR="00E30CBF" w:rsidRPr="00872429" w:rsidRDefault="00E30CBF" w:rsidP="00E30CBF">
      <w:pPr>
        <w:tabs>
          <w:tab w:val="left" w:pos="1455"/>
        </w:tabs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 xml:space="preserve">Foi também conduzido um levantamento sobre as empresas </w:t>
      </w:r>
      <w:r w:rsidR="00DA4874" w:rsidRPr="00872429">
        <w:rPr>
          <w:rFonts w:ascii="Arial" w:hAnsi="Arial" w:cs="Arial"/>
          <w:sz w:val="24"/>
        </w:rPr>
        <w:t>com registro de</w:t>
      </w:r>
      <w:r w:rsidRPr="00872429">
        <w:rPr>
          <w:rFonts w:ascii="Arial" w:hAnsi="Arial" w:cs="Arial"/>
          <w:sz w:val="24"/>
        </w:rPr>
        <w:t xml:space="preserve"> medicamentos contendo os 20 </w:t>
      </w:r>
      <w:proofErr w:type="gramStart"/>
      <w:r w:rsidRPr="00872429">
        <w:rPr>
          <w:rFonts w:ascii="Arial" w:hAnsi="Arial" w:cs="Arial"/>
          <w:sz w:val="24"/>
        </w:rPr>
        <w:t>IFAs</w:t>
      </w:r>
      <w:r w:rsidR="00DE3631" w:rsidRPr="00872429">
        <w:rPr>
          <w:rFonts w:ascii="Arial" w:hAnsi="Arial" w:cs="Arial"/>
          <w:sz w:val="24"/>
          <w:vertAlign w:val="superscript"/>
        </w:rPr>
        <w:t>24</w:t>
      </w:r>
      <w:proofErr w:type="gramEnd"/>
      <w:r w:rsidRPr="00872429">
        <w:rPr>
          <w:rFonts w:ascii="Arial" w:hAnsi="Arial" w:cs="Arial"/>
          <w:sz w:val="24"/>
        </w:rPr>
        <w:t xml:space="preserve">. Com a identificação das empresas de medicamentos que possuem registro, mas que não constam do cadastro de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(importadoras de medicamentos)</w:t>
      </w:r>
      <w:proofErr w:type="gramStart"/>
      <w:r w:rsidR="00DE3631" w:rsidRPr="00872429">
        <w:rPr>
          <w:rFonts w:ascii="Arial" w:hAnsi="Arial" w:cs="Arial"/>
          <w:sz w:val="24"/>
        </w:rPr>
        <w:t>, foi</w:t>
      </w:r>
      <w:proofErr w:type="gramEnd"/>
      <w:r w:rsidRPr="00872429">
        <w:rPr>
          <w:rFonts w:ascii="Arial" w:hAnsi="Arial" w:cs="Arial"/>
          <w:sz w:val="24"/>
        </w:rPr>
        <w:t xml:space="preserve"> possível construir </w:t>
      </w:r>
      <w:r w:rsidR="00DE3631" w:rsidRPr="00872429">
        <w:rPr>
          <w:rFonts w:ascii="Arial" w:hAnsi="Arial" w:cs="Arial"/>
          <w:sz w:val="24"/>
        </w:rPr>
        <w:t>a Tabela</w:t>
      </w:r>
      <w:r w:rsidRPr="00872429">
        <w:rPr>
          <w:rFonts w:ascii="Arial" w:hAnsi="Arial" w:cs="Arial"/>
          <w:sz w:val="24"/>
        </w:rPr>
        <w:t xml:space="preserve"> </w:t>
      </w:r>
      <w:r w:rsidR="00391781" w:rsidRPr="00872429">
        <w:rPr>
          <w:rFonts w:ascii="Arial" w:hAnsi="Arial" w:cs="Arial"/>
          <w:sz w:val="24"/>
        </w:rPr>
        <w:t>1</w:t>
      </w:r>
      <w:r w:rsidRPr="00872429">
        <w:rPr>
          <w:rFonts w:ascii="Arial" w:hAnsi="Arial" w:cs="Arial"/>
          <w:sz w:val="24"/>
        </w:rPr>
        <w:t>, n</w:t>
      </w:r>
      <w:r w:rsidR="00672285">
        <w:rPr>
          <w:rFonts w:ascii="Arial" w:hAnsi="Arial" w:cs="Arial"/>
          <w:sz w:val="24"/>
        </w:rPr>
        <w:t>a</w:t>
      </w:r>
      <w:r w:rsidRPr="00872429">
        <w:rPr>
          <w:rFonts w:ascii="Arial" w:hAnsi="Arial" w:cs="Arial"/>
          <w:sz w:val="24"/>
        </w:rPr>
        <w:t xml:space="preserve"> qual é apresentado o perfil das empresas com cadastro de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na ANVISA: empresas fabricantes de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, distribuidoras de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e fabricantes de medicamentos no Brasil</w:t>
      </w:r>
      <w:r w:rsidR="006A7886" w:rsidRPr="00872429">
        <w:rPr>
          <w:rFonts w:ascii="Arial" w:hAnsi="Arial" w:cs="Arial"/>
          <w:sz w:val="24"/>
        </w:rPr>
        <w:t xml:space="preserve"> (estas duas últimas</w:t>
      </w:r>
      <w:r w:rsidR="00F438FB" w:rsidRPr="00872429">
        <w:rPr>
          <w:rFonts w:ascii="Arial" w:hAnsi="Arial" w:cs="Arial"/>
          <w:sz w:val="24"/>
        </w:rPr>
        <w:t>,</w:t>
      </w:r>
      <w:r w:rsidR="006A7886" w:rsidRPr="00872429">
        <w:rPr>
          <w:rFonts w:ascii="Arial" w:hAnsi="Arial" w:cs="Arial"/>
          <w:sz w:val="24"/>
        </w:rPr>
        <w:t xml:space="preserve"> importadoras</w:t>
      </w:r>
      <w:r w:rsidR="00F438FB" w:rsidRPr="00872429">
        <w:rPr>
          <w:rFonts w:ascii="Arial" w:hAnsi="Arial" w:cs="Arial"/>
          <w:sz w:val="24"/>
        </w:rPr>
        <w:t xml:space="preserve"> dos </w:t>
      </w:r>
      <w:proofErr w:type="spellStart"/>
      <w:r w:rsidR="00F438FB" w:rsidRPr="00872429">
        <w:rPr>
          <w:rFonts w:ascii="Arial" w:hAnsi="Arial" w:cs="Arial"/>
          <w:sz w:val="24"/>
        </w:rPr>
        <w:t>IFAs</w:t>
      </w:r>
      <w:proofErr w:type="spellEnd"/>
      <w:r w:rsidR="006A7886" w:rsidRPr="00872429">
        <w:rPr>
          <w:rFonts w:ascii="Arial" w:hAnsi="Arial" w:cs="Arial"/>
          <w:sz w:val="24"/>
        </w:rPr>
        <w:t>)</w:t>
      </w:r>
      <w:r w:rsidRPr="00872429">
        <w:rPr>
          <w:rFonts w:ascii="Arial" w:hAnsi="Arial" w:cs="Arial"/>
          <w:sz w:val="24"/>
        </w:rPr>
        <w:t xml:space="preserve">. </w:t>
      </w:r>
      <w:r w:rsidR="00DE3631" w:rsidRPr="00872429">
        <w:rPr>
          <w:rFonts w:ascii="Arial" w:hAnsi="Arial" w:cs="Arial"/>
          <w:sz w:val="24"/>
        </w:rPr>
        <w:t>A Tabela</w:t>
      </w:r>
      <w:r w:rsidRPr="00872429">
        <w:rPr>
          <w:rFonts w:ascii="Arial" w:hAnsi="Arial" w:cs="Arial"/>
          <w:sz w:val="24"/>
        </w:rPr>
        <w:t xml:space="preserve"> </w:t>
      </w:r>
      <w:r w:rsidR="00391781" w:rsidRPr="00872429">
        <w:rPr>
          <w:rFonts w:ascii="Arial" w:hAnsi="Arial" w:cs="Arial"/>
          <w:sz w:val="24"/>
        </w:rPr>
        <w:t>1</w:t>
      </w:r>
      <w:r w:rsidRPr="00872429">
        <w:rPr>
          <w:rFonts w:ascii="Arial" w:hAnsi="Arial" w:cs="Arial"/>
          <w:sz w:val="24"/>
        </w:rPr>
        <w:t xml:space="preserve"> teve</w:t>
      </w:r>
      <w:r w:rsidR="00391781" w:rsidRPr="00872429">
        <w:rPr>
          <w:rFonts w:ascii="Arial" w:hAnsi="Arial" w:cs="Arial"/>
          <w:sz w:val="24"/>
        </w:rPr>
        <w:t xml:space="preserve"> por objetivo</w:t>
      </w:r>
      <w:r w:rsidRPr="00872429">
        <w:rPr>
          <w:rFonts w:ascii="Arial" w:hAnsi="Arial" w:cs="Arial"/>
          <w:sz w:val="24"/>
        </w:rPr>
        <w:t xml:space="preserve">, portanto, construir o cenário do setor farmoquímico, em termos de produção desses 20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, antes da obrigatoriedade do registro, para </w:t>
      </w:r>
      <w:r w:rsidR="00391781" w:rsidRPr="00872429">
        <w:rPr>
          <w:rFonts w:ascii="Arial" w:hAnsi="Arial" w:cs="Arial"/>
          <w:sz w:val="24"/>
        </w:rPr>
        <w:t>permitir comparar os dados</w:t>
      </w:r>
      <w:r w:rsidRPr="00872429">
        <w:rPr>
          <w:rFonts w:ascii="Arial" w:hAnsi="Arial" w:cs="Arial"/>
          <w:sz w:val="24"/>
        </w:rPr>
        <w:t xml:space="preserve"> com a situação pós-obrigatoriedade.</w:t>
      </w:r>
    </w:p>
    <w:p w:rsidR="00E30CBF" w:rsidRDefault="00E30CBF" w:rsidP="00E30CBF">
      <w:pPr>
        <w:tabs>
          <w:tab w:val="left" w:pos="1455"/>
        </w:tabs>
        <w:rPr>
          <w:rFonts w:ascii="Arial" w:hAnsi="Arial" w:cs="Arial"/>
          <w:sz w:val="22"/>
        </w:rPr>
      </w:pPr>
    </w:p>
    <w:p w:rsidR="00DE3631" w:rsidRPr="00DE3631" w:rsidRDefault="00DE3631" w:rsidP="00DE3631">
      <w:pPr>
        <w:tabs>
          <w:tab w:val="left" w:pos="1455"/>
        </w:tabs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Tabela</w:t>
      </w:r>
      <w:r w:rsidRPr="00DE3631">
        <w:rPr>
          <w:rFonts w:ascii="Arial" w:hAnsi="Arial" w:cs="Arial"/>
          <w:sz w:val="22"/>
          <w:szCs w:val="20"/>
        </w:rPr>
        <w:t xml:space="preserve"> 1 – Distribuição do perfil das empresas </w:t>
      </w:r>
      <w:proofErr w:type="spellStart"/>
      <w:r w:rsidRPr="00DE3631">
        <w:rPr>
          <w:rFonts w:ascii="Arial" w:hAnsi="Arial" w:cs="Arial"/>
          <w:sz w:val="22"/>
          <w:szCs w:val="20"/>
        </w:rPr>
        <w:t>cadastrantes</w:t>
      </w:r>
      <w:proofErr w:type="spellEnd"/>
      <w:r w:rsidRPr="00DE3631">
        <w:rPr>
          <w:rFonts w:ascii="Arial" w:hAnsi="Arial" w:cs="Arial"/>
          <w:sz w:val="22"/>
          <w:szCs w:val="20"/>
        </w:rPr>
        <w:t xml:space="preserve"> dos vinte </w:t>
      </w:r>
      <w:proofErr w:type="spellStart"/>
      <w:r w:rsidRPr="00DE3631">
        <w:rPr>
          <w:rFonts w:ascii="Arial" w:hAnsi="Arial" w:cs="Arial"/>
          <w:sz w:val="22"/>
          <w:szCs w:val="20"/>
        </w:rPr>
        <w:t>IFAs</w:t>
      </w:r>
      <w:proofErr w:type="spellEnd"/>
    </w:p>
    <w:tbl>
      <w:tblPr>
        <w:tblW w:w="0" w:type="auto"/>
        <w:jc w:val="center"/>
        <w:tblInd w:w="51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567"/>
        <w:gridCol w:w="567"/>
        <w:gridCol w:w="567"/>
        <w:gridCol w:w="567"/>
        <w:gridCol w:w="616"/>
        <w:gridCol w:w="616"/>
        <w:gridCol w:w="616"/>
      </w:tblGrid>
      <w:tr w:rsidR="00DE3631" w:rsidRPr="00606D09" w:rsidTr="008B670B">
        <w:trPr>
          <w:cantSplit/>
          <w:trHeight w:val="2920"/>
          <w:jc w:val="center"/>
        </w:trPr>
        <w:tc>
          <w:tcPr>
            <w:tcW w:w="2385" w:type="dxa"/>
            <w:shd w:val="clear" w:color="auto" w:fill="BFBFBF" w:themeFill="background1" w:themeFillShade="BF"/>
            <w:vAlign w:val="center"/>
          </w:tcPr>
          <w:p w:rsidR="00DE3631" w:rsidRPr="00A75C6D" w:rsidRDefault="00DE3631" w:rsidP="00F65975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</w:rPr>
              <w:t>INSUMO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  <w:vAlign w:val="center"/>
          </w:tcPr>
          <w:p w:rsidR="00DE3631" w:rsidRPr="00A75C6D" w:rsidRDefault="00DE3631" w:rsidP="003C686C">
            <w:pPr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  <w:t>Fabricantes do IFA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  <w:vAlign w:val="center"/>
          </w:tcPr>
          <w:p w:rsidR="00DE3631" w:rsidRPr="00A75C6D" w:rsidRDefault="00DE3631" w:rsidP="003C686C">
            <w:pPr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  <w:t>Distribuidores do IFA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  <w:vAlign w:val="center"/>
          </w:tcPr>
          <w:p w:rsidR="00DE3631" w:rsidRPr="00A75C6D" w:rsidRDefault="00DE3631" w:rsidP="003C686C">
            <w:pPr>
              <w:ind w:firstLine="0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  <w:t>Fabricantes do</w:t>
            </w:r>
            <w:proofErr w:type="gramStart"/>
            <w:r w:rsidRPr="00A75C6D"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  <w:t xml:space="preserve">  </w:t>
            </w:r>
            <w:proofErr w:type="gramEnd"/>
            <w:r w:rsidRPr="00A75C6D"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  <w:t>Medicamento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  <w:vAlign w:val="center"/>
          </w:tcPr>
          <w:p w:rsidR="00DE3631" w:rsidRPr="00A75C6D" w:rsidRDefault="00DE3631" w:rsidP="003C686C">
            <w:pPr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616" w:type="dxa"/>
            <w:shd w:val="clear" w:color="auto" w:fill="BFBFBF" w:themeFill="background1" w:themeFillShade="BF"/>
            <w:textDirection w:val="btLr"/>
            <w:vAlign w:val="center"/>
          </w:tcPr>
          <w:p w:rsidR="00DE3631" w:rsidRPr="00A75C6D" w:rsidRDefault="00DE3631" w:rsidP="003C686C">
            <w:pPr>
              <w:ind w:left="113" w:firstLine="0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  <w:t>%</w:t>
            </w:r>
            <w:proofErr w:type="gramStart"/>
            <w:r w:rsidRPr="00A75C6D"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  <w:t xml:space="preserve">  </w:t>
            </w:r>
            <w:proofErr w:type="gramEnd"/>
            <w:r w:rsidRPr="00A75C6D"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  <w:t>dos Fabricantes do IFA</w:t>
            </w:r>
          </w:p>
        </w:tc>
        <w:tc>
          <w:tcPr>
            <w:tcW w:w="616" w:type="dxa"/>
            <w:shd w:val="clear" w:color="auto" w:fill="BFBFBF" w:themeFill="background1" w:themeFillShade="BF"/>
            <w:textDirection w:val="btLr"/>
            <w:vAlign w:val="center"/>
          </w:tcPr>
          <w:p w:rsidR="00DE3631" w:rsidRPr="00A75C6D" w:rsidRDefault="00DE3631" w:rsidP="003C686C">
            <w:pPr>
              <w:ind w:left="113" w:firstLine="0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  <w:t>%</w:t>
            </w:r>
            <w:proofErr w:type="gramStart"/>
            <w:r w:rsidRPr="00A75C6D"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  <w:t xml:space="preserve">  </w:t>
            </w:r>
            <w:proofErr w:type="gramEnd"/>
            <w:r w:rsidRPr="00A75C6D"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  <w:t>dos Distribuidores do IFA</w:t>
            </w:r>
          </w:p>
        </w:tc>
        <w:tc>
          <w:tcPr>
            <w:tcW w:w="616" w:type="dxa"/>
            <w:shd w:val="clear" w:color="auto" w:fill="BFBFBF" w:themeFill="background1" w:themeFillShade="BF"/>
            <w:textDirection w:val="btLr"/>
            <w:vAlign w:val="center"/>
          </w:tcPr>
          <w:p w:rsidR="00DE3631" w:rsidRPr="00A75C6D" w:rsidRDefault="00DE3631" w:rsidP="003C686C">
            <w:pPr>
              <w:ind w:firstLine="0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  <w:t>% dos Fabricantes do Medicamento</w:t>
            </w:r>
          </w:p>
        </w:tc>
      </w:tr>
      <w:tr w:rsidR="00DE3631" w:rsidRPr="00606D09" w:rsidTr="00BD3081">
        <w:trPr>
          <w:trHeight w:hRule="exact" w:val="227"/>
          <w:jc w:val="center"/>
        </w:trPr>
        <w:tc>
          <w:tcPr>
            <w:tcW w:w="2385" w:type="dxa"/>
            <w:vAlign w:val="center"/>
          </w:tcPr>
          <w:p w:rsidR="00DE3631" w:rsidRPr="00A75C6D" w:rsidRDefault="00DE3631" w:rsidP="0066724F">
            <w:pPr>
              <w:pStyle w:val="Corpodetexto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75C6D">
              <w:rPr>
                <w:rFonts w:ascii="Arial" w:hAnsi="Arial" w:cs="Arial"/>
                <w:b/>
                <w:sz w:val="16"/>
                <w:szCs w:val="16"/>
              </w:rPr>
              <w:t>Aciclovir</w:t>
            </w:r>
            <w:proofErr w:type="spell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</w:tr>
      <w:tr w:rsidR="00DE3631" w:rsidRPr="00606D09" w:rsidTr="00BD3081">
        <w:trPr>
          <w:trHeight w:hRule="exact" w:val="227"/>
          <w:jc w:val="center"/>
        </w:trPr>
        <w:tc>
          <w:tcPr>
            <w:tcW w:w="2385" w:type="dxa"/>
            <w:vAlign w:val="center"/>
          </w:tcPr>
          <w:p w:rsidR="00DE3631" w:rsidRPr="00A75C6D" w:rsidRDefault="00DE3631" w:rsidP="0066724F">
            <w:pPr>
              <w:pStyle w:val="Corpodetexto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A75C6D">
              <w:rPr>
                <w:rFonts w:ascii="Arial" w:hAnsi="Arial" w:cs="Arial"/>
                <w:b/>
                <w:sz w:val="16"/>
                <w:szCs w:val="16"/>
              </w:rPr>
              <w:t>Ampicilina</w:t>
            </w:r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</w:tr>
      <w:tr w:rsidR="00DE3631" w:rsidRPr="00606D09" w:rsidTr="00BD3081">
        <w:trPr>
          <w:trHeight w:hRule="exact" w:val="227"/>
          <w:jc w:val="center"/>
        </w:trPr>
        <w:tc>
          <w:tcPr>
            <w:tcW w:w="2385" w:type="dxa"/>
            <w:vAlign w:val="center"/>
          </w:tcPr>
          <w:p w:rsidR="00DE3631" w:rsidRPr="00A75C6D" w:rsidRDefault="00DE3631" w:rsidP="0066724F">
            <w:pPr>
              <w:pStyle w:val="Corpodetexto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75C6D">
              <w:rPr>
                <w:rFonts w:ascii="Arial" w:hAnsi="Arial" w:cs="Arial"/>
                <w:b/>
                <w:sz w:val="16"/>
                <w:szCs w:val="16"/>
              </w:rPr>
              <w:t>Carbamazepina</w:t>
            </w:r>
            <w:proofErr w:type="spell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</w:tr>
      <w:tr w:rsidR="00DE3631" w:rsidRPr="00606D09" w:rsidTr="00BD3081">
        <w:trPr>
          <w:trHeight w:hRule="exact" w:val="227"/>
          <w:jc w:val="center"/>
        </w:trPr>
        <w:tc>
          <w:tcPr>
            <w:tcW w:w="2385" w:type="dxa"/>
            <w:vAlign w:val="center"/>
          </w:tcPr>
          <w:p w:rsidR="00DE3631" w:rsidRPr="00A75C6D" w:rsidRDefault="00DE3631" w:rsidP="0066724F">
            <w:pPr>
              <w:pStyle w:val="Corpodetexto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A75C6D">
              <w:rPr>
                <w:rFonts w:ascii="Arial" w:hAnsi="Arial" w:cs="Arial"/>
                <w:b/>
                <w:sz w:val="16"/>
                <w:szCs w:val="16"/>
              </w:rPr>
              <w:t>Carbonato de Lítio</w:t>
            </w:r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</w:tr>
      <w:tr w:rsidR="00DE3631" w:rsidRPr="00606D09" w:rsidTr="00BD3081">
        <w:trPr>
          <w:trHeight w:hRule="exact" w:val="227"/>
          <w:jc w:val="center"/>
        </w:trPr>
        <w:tc>
          <w:tcPr>
            <w:tcW w:w="2385" w:type="dxa"/>
            <w:vAlign w:val="center"/>
          </w:tcPr>
          <w:p w:rsidR="00DE3631" w:rsidRPr="00A75C6D" w:rsidRDefault="00DE3631" w:rsidP="0066724F">
            <w:pPr>
              <w:pStyle w:val="Corpodetexto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A75C6D">
              <w:rPr>
                <w:rFonts w:ascii="Arial" w:hAnsi="Arial" w:cs="Arial"/>
                <w:b/>
                <w:sz w:val="16"/>
                <w:szCs w:val="16"/>
              </w:rPr>
              <w:t>Ciclofosfamida</w:t>
            </w:r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E3631" w:rsidRPr="00606D09" w:rsidTr="00BD3081">
        <w:trPr>
          <w:trHeight w:hRule="exact" w:val="227"/>
          <w:jc w:val="center"/>
        </w:trPr>
        <w:tc>
          <w:tcPr>
            <w:tcW w:w="2385" w:type="dxa"/>
            <w:vAlign w:val="center"/>
          </w:tcPr>
          <w:p w:rsidR="00DE3631" w:rsidRPr="00A75C6D" w:rsidRDefault="00DE3631" w:rsidP="0066724F">
            <w:pPr>
              <w:pStyle w:val="Corpodetexto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A75C6D">
              <w:rPr>
                <w:rFonts w:ascii="Arial" w:hAnsi="Arial" w:cs="Arial"/>
                <w:b/>
                <w:sz w:val="16"/>
                <w:szCs w:val="16"/>
              </w:rPr>
              <w:t>Ciclosporina</w:t>
            </w:r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</w:tr>
      <w:tr w:rsidR="00DE3631" w:rsidRPr="00606D09" w:rsidTr="00BD3081">
        <w:trPr>
          <w:trHeight w:hRule="exact" w:val="227"/>
          <w:jc w:val="center"/>
        </w:trPr>
        <w:tc>
          <w:tcPr>
            <w:tcW w:w="2385" w:type="dxa"/>
            <w:vAlign w:val="center"/>
          </w:tcPr>
          <w:p w:rsidR="00DE3631" w:rsidRPr="00A75C6D" w:rsidRDefault="00DE3631" w:rsidP="0066724F">
            <w:pPr>
              <w:pStyle w:val="Corpodetexto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75C6D">
              <w:rPr>
                <w:rFonts w:ascii="Arial" w:hAnsi="Arial" w:cs="Arial"/>
                <w:b/>
                <w:sz w:val="16"/>
                <w:szCs w:val="16"/>
              </w:rPr>
              <w:t>Ciprofloxacino</w:t>
            </w:r>
            <w:proofErr w:type="spell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</w:tr>
      <w:tr w:rsidR="00DE3631" w:rsidRPr="00606D09" w:rsidTr="00BD3081">
        <w:trPr>
          <w:trHeight w:hRule="exact" w:val="227"/>
          <w:jc w:val="center"/>
        </w:trPr>
        <w:tc>
          <w:tcPr>
            <w:tcW w:w="2385" w:type="dxa"/>
            <w:vAlign w:val="center"/>
          </w:tcPr>
          <w:p w:rsidR="00DE3631" w:rsidRPr="00A75C6D" w:rsidRDefault="00DE3631" w:rsidP="0066724F">
            <w:pPr>
              <w:pStyle w:val="Corpodetexto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A75C6D">
              <w:rPr>
                <w:rFonts w:ascii="Arial" w:hAnsi="Arial" w:cs="Arial"/>
                <w:b/>
                <w:sz w:val="16"/>
                <w:szCs w:val="16"/>
              </w:rPr>
              <w:t xml:space="preserve">Cloridrato de </w:t>
            </w:r>
            <w:proofErr w:type="spellStart"/>
            <w:r w:rsidRPr="00A75C6D">
              <w:rPr>
                <w:rFonts w:ascii="Arial" w:hAnsi="Arial" w:cs="Arial"/>
                <w:b/>
                <w:sz w:val="16"/>
                <w:szCs w:val="16"/>
              </w:rPr>
              <w:t>Clindamicina</w:t>
            </w:r>
            <w:proofErr w:type="spell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</w:tr>
      <w:tr w:rsidR="00DE3631" w:rsidRPr="00606D09" w:rsidTr="00BD3081">
        <w:trPr>
          <w:trHeight w:hRule="exact" w:val="227"/>
          <w:jc w:val="center"/>
        </w:trPr>
        <w:tc>
          <w:tcPr>
            <w:tcW w:w="2385" w:type="dxa"/>
            <w:vAlign w:val="center"/>
          </w:tcPr>
          <w:p w:rsidR="00DE3631" w:rsidRPr="00A75C6D" w:rsidRDefault="00DE3631" w:rsidP="0066724F">
            <w:pPr>
              <w:pStyle w:val="Corpodetexto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75C6D">
              <w:rPr>
                <w:rFonts w:ascii="Arial" w:hAnsi="Arial" w:cs="Arial"/>
                <w:b/>
                <w:sz w:val="16"/>
                <w:szCs w:val="16"/>
              </w:rPr>
              <w:t>Clozapina</w:t>
            </w:r>
            <w:proofErr w:type="spell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</w:tr>
      <w:tr w:rsidR="00DE3631" w:rsidRPr="00606D09" w:rsidTr="00BD3081">
        <w:trPr>
          <w:trHeight w:hRule="exact" w:val="227"/>
          <w:jc w:val="center"/>
        </w:trPr>
        <w:tc>
          <w:tcPr>
            <w:tcW w:w="2385" w:type="dxa"/>
            <w:vAlign w:val="center"/>
          </w:tcPr>
          <w:p w:rsidR="00DE3631" w:rsidRPr="00A75C6D" w:rsidRDefault="00DE3631" w:rsidP="0066724F">
            <w:pPr>
              <w:pStyle w:val="Corpodetexto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A75C6D">
              <w:rPr>
                <w:rFonts w:ascii="Arial" w:hAnsi="Arial" w:cs="Arial"/>
                <w:b/>
                <w:sz w:val="16"/>
                <w:szCs w:val="16"/>
              </w:rPr>
              <w:t>Efavirenz</w:t>
            </w:r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</w:tr>
      <w:tr w:rsidR="00DE3631" w:rsidRPr="00606D09" w:rsidTr="00BD3081">
        <w:trPr>
          <w:trHeight w:hRule="exact" w:val="227"/>
          <w:jc w:val="center"/>
        </w:trPr>
        <w:tc>
          <w:tcPr>
            <w:tcW w:w="2385" w:type="dxa"/>
            <w:vAlign w:val="center"/>
          </w:tcPr>
          <w:p w:rsidR="00DE3631" w:rsidRPr="00A75C6D" w:rsidRDefault="00DE3631" w:rsidP="0066724F">
            <w:pPr>
              <w:pStyle w:val="Corpodetexto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75C6D">
              <w:rPr>
                <w:rFonts w:ascii="Arial" w:hAnsi="Arial" w:cs="Arial"/>
                <w:b/>
                <w:sz w:val="16"/>
                <w:szCs w:val="16"/>
              </w:rPr>
              <w:t>Fenitoína</w:t>
            </w:r>
            <w:proofErr w:type="spell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</w:tr>
      <w:tr w:rsidR="00DE3631" w:rsidRPr="00606D09" w:rsidTr="00BD3081">
        <w:trPr>
          <w:trHeight w:hRule="exact" w:val="227"/>
          <w:jc w:val="center"/>
        </w:trPr>
        <w:tc>
          <w:tcPr>
            <w:tcW w:w="2385" w:type="dxa"/>
            <w:vAlign w:val="center"/>
          </w:tcPr>
          <w:p w:rsidR="00DE3631" w:rsidRPr="00A75C6D" w:rsidRDefault="00DE3631" w:rsidP="0066724F">
            <w:pPr>
              <w:pStyle w:val="Corpodetexto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75C6D">
              <w:rPr>
                <w:rFonts w:ascii="Arial" w:hAnsi="Arial" w:cs="Arial"/>
                <w:b/>
                <w:sz w:val="16"/>
                <w:szCs w:val="16"/>
              </w:rPr>
              <w:t>Fenitoína</w:t>
            </w:r>
            <w:proofErr w:type="spellEnd"/>
            <w:r w:rsidRPr="00A75C6D">
              <w:rPr>
                <w:rFonts w:ascii="Arial" w:hAnsi="Arial" w:cs="Arial"/>
                <w:b/>
                <w:sz w:val="16"/>
                <w:szCs w:val="16"/>
              </w:rPr>
              <w:t xml:space="preserve"> Sódica</w:t>
            </w:r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</w:tr>
      <w:tr w:rsidR="00DE3631" w:rsidRPr="00606D09" w:rsidTr="00BD3081">
        <w:trPr>
          <w:trHeight w:hRule="exact" w:val="227"/>
          <w:jc w:val="center"/>
        </w:trPr>
        <w:tc>
          <w:tcPr>
            <w:tcW w:w="2385" w:type="dxa"/>
            <w:vAlign w:val="center"/>
          </w:tcPr>
          <w:p w:rsidR="00DE3631" w:rsidRPr="00A75C6D" w:rsidRDefault="00DE3631" w:rsidP="0066724F">
            <w:pPr>
              <w:pStyle w:val="Corpodetexto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75C6D">
              <w:rPr>
                <w:rFonts w:ascii="Arial" w:hAnsi="Arial" w:cs="Arial"/>
                <w:b/>
                <w:sz w:val="16"/>
                <w:szCs w:val="16"/>
              </w:rPr>
              <w:t>Lamivudina</w:t>
            </w:r>
            <w:proofErr w:type="spell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</w:tr>
      <w:tr w:rsidR="00DE3631" w:rsidRPr="00606D09" w:rsidTr="00BD3081">
        <w:trPr>
          <w:trHeight w:hRule="exact" w:val="227"/>
          <w:jc w:val="center"/>
        </w:trPr>
        <w:tc>
          <w:tcPr>
            <w:tcW w:w="2385" w:type="dxa"/>
            <w:vAlign w:val="center"/>
          </w:tcPr>
          <w:p w:rsidR="00DE3631" w:rsidRPr="00A75C6D" w:rsidRDefault="00DE3631" w:rsidP="0066724F">
            <w:pPr>
              <w:pStyle w:val="Corpodetexto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75C6D">
              <w:rPr>
                <w:rFonts w:ascii="Arial" w:hAnsi="Arial" w:cs="Arial"/>
                <w:b/>
                <w:sz w:val="16"/>
                <w:szCs w:val="16"/>
              </w:rPr>
              <w:t>Metotrexato</w:t>
            </w:r>
            <w:proofErr w:type="spell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</w:tr>
      <w:tr w:rsidR="00DE3631" w:rsidRPr="00606D09" w:rsidTr="00BD3081">
        <w:trPr>
          <w:trHeight w:hRule="exact" w:val="227"/>
          <w:jc w:val="center"/>
        </w:trPr>
        <w:tc>
          <w:tcPr>
            <w:tcW w:w="2385" w:type="dxa"/>
            <w:vAlign w:val="center"/>
          </w:tcPr>
          <w:p w:rsidR="00DE3631" w:rsidRPr="00A75C6D" w:rsidRDefault="00DE3631" w:rsidP="0066724F">
            <w:pPr>
              <w:pStyle w:val="Corpodetexto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75C6D">
              <w:rPr>
                <w:rFonts w:ascii="Arial" w:hAnsi="Arial" w:cs="Arial"/>
                <w:b/>
                <w:sz w:val="16"/>
                <w:szCs w:val="16"/>
              </w:rPr>
              <w:t>Nevirapina</w:t>
            </w:r>
            <w:proofErr w:type="spell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</w:tr>
      <w:tr w:rsidR="00DE3631" w:rsidRPr="00606D09" w:rsidTr="00BD3081">
        <w:trPr>
          <w:trHeight w:hRule="exact" w:val="227"/>
          <w:jc w:val="center"/>
        </w:trPr>
        <w:tc>
          <w:tcPr>
            <w:tcW w:w="2385" w:type="dxa"/>
            <w:vAlign w:val="center"/>
          </w:tcPr>
          <w:p w:rsidR="00DE3631" w:rsidRPr="00A75C6D" w:rsidRDefault="00DE3631" w:rsidP="0066724F">
            <w:pPr>
              <w:pStyle w:val="Corpodetexto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75C6D">
              <w:rPr>
                <w:rFonts w:ascii="Arial" w:hAnsi="Arial" w:cs="Arial"/>
                <w:b/>
                <w:sz w:val="16"/>
                <w:szCs w:val="16"/>
              </w:rPr>
              <w:t>Penicilamina</w:t>
            </w:r>
            <w:proofErr w:type="spell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E3631" w:rsidRPr="00606D09" w:rsidTr="00BD3081">
        <w:trPr>
          <w:trHeight w:hRule="exact" w:val="227"/>
          <w:jc w:val="center"/>
        </w:trPr>
        <w:tc>
          <w:tcPr>
            <w:tcW w:w="2385" w:type="dxa"/>
            <w:vAlign w:val="center"/>
          </w:tcPr>
          <w:p w:rsidR="00DE3631" w:rsidRPr="00A75C6D" w:rsidRDefault="00DE3631" w:rsidP="0066724F">
            <w:pPr>
              <w:pStyle w:val="Corpodetexto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A75C6D">
              <w:rPr>
                <w:rFonts w:ascii="Arial" w:hAnsi="Arial" w:cs="Arial"/>
                <w:b/>
                <w:sz w:val="16"/>
                <w:szCs w:val="16"/>
              </w:rPr>
              <w:t>Rifampicina</w:t>
            </w:r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</w:tr>
      <w:tr w:rsidR="00DE3631" w:rsidRPr="00606D09" w:rsidTr="00BD3081">
        <w:trPr>
          <w:trHeight w:hRule="exact" w:val="227"/>
          <w:jc w:val="center"/>
        </w:trPr>
        <w:tc>
          <w:tcPr>
            <w:tcW w:w="2385" w:type="dxa"/>
            <w:vAlign w:val="center"/>
          </w:tcPr>
          <w:p w:rsidR="00DE3631" w:rsidRPr="00A75C6D" w:rsidRDefault="00DE3631" w:rsidP="0066724F">
            <w:pPr>
              <w:pStyle w:val="Corpodetexto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75C6D">
              <w:rPr>
                <w:rFonts w:ascii="Arial" w:hAnsi="Arial" w:cs="Arial"/>
                <w:b/>
                <w:sz w:val="16"/>
                <w:szCs w:val="16"/>
              </w:rPr>
              <w:t>Ritonavir</w:t>
            </w:r>
            <w:proofErr w:type="spell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</w:tr>
      <w:tr w:rsidR="00DE3631" w:rsidRPr="00606D09" w:rsidTr="00BD3081">
        <w:trPr>
          <w:trHeight w:hRule="exact" w:val="227"/>
          <w:jc w:val="center"/>
        </w:trPr>
        <w:tc>
          <w:tcPr>
            <w:tcW w:w="2385" w:type="dxa"/>
            <w:vAlign w:val="center"/>
          </w:tcPr>
          <w:p w:rsidR="00DE3631" w:rsidRPr="00A75C6D" w:rsidRDefault="00DE3631" w:rsidP="0066724F">
            <w:pPr>
              <w:pStyle w:val="Corpodetexto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A75C6D">
              <w:rPr>
                <w:rFonts w:ascii="Arial" w:hAnsi="Arial" w:cs="Arial"/>
                <w:b/>
                <w:sz w:val="16"/>
                <w:szCs w:val="16"/>
              </w:rPr>
              <w:t>Tiabendazol</w:t>
            </w:r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</w:tr>
      <w:tr w:rsidR="00DE3631" w:rsidRPr="00606D09" w:rsidTr="00BD3081">
        <w:trPr>
          <w:trHeight w:hRule="exact" w:val="227"/>
          <w:jc w:val="center"/>
        </w:trPr>
        <w:tc>
          <w:tcPr>
            <w:tcW w:w="2385" w:type="dxa"/>
            <w:vAlign w:val="center"/>
          </w:tcPr>
          <w:p w:rsidR="00DE3631" w:rsidRPr="00A75C6D" w:rsidRDefault="00DE3631" w:rsidP="0066724F">
            <w:pPr>
              <w:pStyle w:val="Corpodetexto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A75C6D">
              <w:rPr>
                <w:rFonts w:ascii="Arial" w:hAnsi="Arial" w:cs="Arial"/>
                <w:b/>
                <w:sz w:val="16"/>
                <w:szCs w:val="16"/>
              </w:rPr>
              <w:t>Zidovudina</w:t>
            </w:r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567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75C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616" w:type="dxa"/>
            <w:vAlign w:val="bottom"/>
          </w:tcPr>
          <w:p w:rsidR="00DE3631" w:rsidRPr="00A75C6D" w:rsidRDefault="00DE3631" w:rsidP="0066724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</w:tr>
      <w:tr w:rsidR="00DE3631" w:rsidRPr="00606D09" w:rsidTr="008B670B">
        <w:trPr>
          <w:trHeight w:hRule="exact" w:val="284"/>
          <w:jc w:val="center"/>
        </w:trPr>
        <w:tc>
          <w:tcPr>
            <w:tcW w:w="2385" w:type="dxa"/>
            <w:shd w:val="clear" w:color="auto" w:fill="BFBFBF" w:themeFill="background1" w:themeFillShade="BF"/>
            <w:vAlign w:val="center"/>
          </w:tcPr>
          <w:p w:rsidR="00DE3631" w:rsidRPr="00A75C6D" w:rsidRDefault="00DE3631" w:rsidP="0066724F">
            <w:pPr>
              <w:pStyle w:val="Corpodetexto"/>
              <w:spacing w:line="240" w:lineRule="auto"/>
              <w:ind w:firstLine="0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A75C6D">
              <w:rPr>
                <w:rFonts w:ascii="Arial" w:hAnsi="Arial" w:cs="Arial"/>
                <w:b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E3631" w:rsidRPr="00A75C6D" w:rsidRDefault="00DE3631" w:rsidP="002064A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E3631" w:rsidRPr="00A75C6D" w:rsidRDefault="00DE3631" w:rsidP="002064A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27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E3631" w:rsidRPr="00A75C6D" w:rsidRDefault="00DE3631" w:rsidP="002064A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75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E3631" w:rsidRPr="00A75C6D" w:rsidRDefault="00DE3631" w:rsidP="002064A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120</w:t>
            </w:r>
          </w:p>
        </w:tc>
        <w:tc>
          <w:tcPr>
            <w:tcW w:w="616" w:type="dxa"/>
            <w:shd w:val="clear" w:color="auto" w:fill="BFBFBF" w:themeFill="background1" w:themeFillShade="BF"/>
            <w:vAlign w:val="center"/>
          </w:tcPr>
          <w:p w:rsidR="00DE3631" w:rsidRPr="00A75C6D" w:rsidRDefault="00DE3631" w:rsidP="002064A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15</w:t>
            </w:r>
          </w:p>
        </w:tc>
        <w:tc>
          <w:tcPr>
            <w:tcW w:w="616" w:type="dxa"/>
            <w:shd w:val="clear" w:color="auto" w:fill="BFBFBF" w:themeFill="background1" w:themeFillShade="BF"/>
            <w:vAlign w:val="center"/>
          </w:tcPr>
          <w:p w:rsidR="00DE3631" w:rsidRPr="00A75C6D" w:rsidRDefault="00DE3631" w:rsidP="002064A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22</w:t>
            </w:r>
          </w:p>
        </w:tc>
        <w:tc>
          <w:tcPr>
            <w:tcW w:w="616" w:type="dxa"/>
            <w:shd w:val="clear" w:color="auto" w:fill="BFBFBF" w:themeFill="background1" w:themeFillShade="BF"/>
            <w:vAlign w:val="center"/>
          </w:tcPr>
          <w:p w:rsidR="00DE3631" w:rsidRPr="00A75C6D" w:rsidRDefault="00DE3631" w:rsidP="002064A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75C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63</w:t>
            </w:r>
          </w:p>
        </w:tc>
      </w:tr>
    </w:tbl>
    <w:p w:rsidR="00DE3631" w:rsidRPr="00A75C6D" w:rsidRDefault="00DE3631" w:rsidP="00DE3631">
      <w:pPr>
        <w:tabs>
          <w:tab w:val="left" w:pos="3330"/>
        </w:tabs>
        <w:spacing w:before="120"/>
        <w:rPr>
          <w:rFonts w:ascii="Arial" w:hAnsi="Arial" w:cs="Arial"/>
          <w:sz w:val="22"/>
          <w:szCs w:val="20"/>
        </w:rPr>
      </w:pPr>
      <w:r w:rsidRPr="001A2A8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                </w:t>
      </w:r>
      <w:r w:rsidRPr="00A75C6D">
        <w:rPr>
          <w:rFonts w:ascii="Arial" w:hAnsi="Arial" w:cs="Arial"/>
          <w:sz w:val="18"/>
          <w:szCs w:val="20"/>
        </w:rPr>
        <w:t>Elaboração própria. Fonte ANVISA, 2012</w:t>
      </w:r>
    </w:p>
    <w:p w:rsidR="00E30CBF" w:rsidRPr="007A5981" w:rsidRDefault="00E30CBF" w:rsidP="00F55AF1">
      <w:pPr>
        <w:tabs>
          <w:tab w:val="left" w:pos="1455"/>
        </w:tabs>
        <w:jc w:val="center"/>
        <w:rPr>
          <w:rFonts w:ascii="Arial" w:hAnsi="Arial" w:cs="Arial"/>
          <w:sz w:val="22"/>
        </w:rPr>
      </w:pPr>
    </w:p>
    <w:p w:rsidR="00E30CBF" w:rsidRPr="00872429" w:rsidRDefault="00A75C6D" w:rsidP="00E30CBF">
      <w:pPr>
        <w:tabs>
          <w:tab w:val="left" w:pos="3330"/>
        </w:tabs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>Pela</w:t>
      </w:r>
      <w:r w:rsidR="00E30CBF" w:rsidRPr="00872429">
        <w:rPr>
          <w:rFonts w:ascii="Arial" w:hAnsi="Arial" w:cs="Arial"/>
          <w:sz w:val="24"/>
        </w:rPr>
        <w:t xml:space="preserve"> </w:t>
      </w:r>
      <w:r w:rsidRPr="00872429">
        <w:rPr>
          <w:rFonts w:ascii="Arial" w:hAnsi="Arial" w:cs="Arial"/>
          <w:sz w:val="24"/>
        </w:rPr>
        <w:t>Tabela</w:t>
      </w:r>
      <w:r w:rsidR="00E30CBF" w:rsidRPr="00872429">
        <w:rPr>
          <w:rFonts w:ascii="Arial" w:hAnsi="Arial" w:cs="Arial"/>
          <w:sz w:val="24"/>
        </w:rPr>
        <w:t xml:space="preserve"> </w:t>
      </w:r>
      <w:r w:rsidR="006A7886" w:rsidRPr="00872429">
        <w:rPr>
          <w:rFonts w:ascii="Arial" w:hAnsi="Arial" w:cs="Arial"/>
          <w:sz w:val="24"/>
        </w:rPr>
        <w:t>1</w:t>
      </w:r>
      <w:r w:rsidRPr="00872429">
        <w:rPr>
          <w:rFonts w:ascii="Arial" w:hAnsi="Arial" w:cs="Arial"/>
          <w:sz w:val="24"/>
        </w:rPr>
        <w:t xml:space="preserve"> </w:t>
      </w:r>
      <w:r w:rsidR="00E64EAB" w:rsidRPr="00872429">
        <w:rPr>
          <w:rFonts w:ascii="Arial" w:hAnsi="Arial" w:cs="Arial"/>
          <w:sz w:val="24"/>
        </w:rPr>
        <w:t>é possível verificar</w:t>
      </w:r>
      <w:r w:rsidR="00E30CBF" w:rsidRPr="00872429">
        <w:rPr>
          <w:rFonts w:ascii="Arial" w:hAnsi="Arial" w:cs="Arial"/>
          <w:sz w:val="24"/>
        </w:rPr>
        <w:t xml:space="preserve"> que apenas 15% dos </w:t>
      </w:r>
      <w:proofErr w:type="spellStart"/>
      <w:r w:rsidR="00E30CBF" w:rsidRPr="00872429">
        <w:rPr>
          <w:rFonts w:ascii="Arial" w:hAnsi="Arial" w:cs="Arial"/>
          <w:sz w:val="24"/>
        </w:rPr>
        <w:t>IFAs</w:t>
      </w:r>
      <w:proofErr w:type="spellEnd"/>
      <w:r w:rsidR="00E30CBF" w:rsidRPr="00872429">
        <w:rPr>
          <w:rFonts w:ascii="Arial" w:hAnsi="Arial" w:cs="Arial"/>
          <w:sz w:val="24"/>
        </w:rPr>
        <w:t xml:space="preserve"> cadastrados são fabricados no Brasil. </w:t>
      </w:r>
    </w:p>
    <w:p w:rsidR="006C725B" w:rsidRPr="00872429" w:rsidRDefault="006C725B" w:rsidP="00E30CBF">
      <w:pPr>
        <w:tabs>
          <w:tab w:val="left" w:pos="3330"/>
        </w:tabs>
        <w:rPr>
          <w:rFonts w:ascii="Arial" w:hAnsi="Arial" w:cs="Arial"/>
          <w:sz w:val="24"/>
        </w:rPr>
        <w:sectPr w:rsidR="006C725B" w:rsidRPr="00872429" w:rsidSect="00A73E6C">
          <w:type w:val="continuous"/>
          <w:pgSz w:w="11906" w:h="16838"/>
          <w:pgMar w:top="1134" w:right="1134" w:bottom="1134" w:left="1134" w:header="709" w:footer="709" w:gutter="0"/>
          <w:lnNumType w:countBy="1"/>
          <w:cols w:space="708"/>
          <w:docGrid w:linePitch="360"/>
        </w:sectPr>
      </w:pPr>
    </w:p>
    <w:p w:rsidR="00E30CBF" w:rsidRPr="00A73E6C" w:rsidRDefault="00E30CBF" w:rsidP="00A73E6C">
      <w:pPr>
        <w:spacing w:before="120"/>
        <w:ind w:firstLine="0"/>
        <w:rPr>
          <w:rFonts w:ascii="Arial" w:hAnsi="Arial" w:cs="Arial"/>
          <w:i/>
          <w:sz w:val="24"/>
        </w:rPr>
      </w:pPr>
      <w:r w:rsidRPr="00A73E6C">
        <w:rPr>
          <w:rFonts w:ascii="Arial" w:hAnsi="Arial" w:cs="Arial"/>
          <w:i/>
          <w:sz w:val="24"/>
        </w:rPr>
        <w:lastRenderedPageBreak/>
        <w:t xml:space="preserve">Registro dos 20 </w:t>
      </w:r>
      <w:proofErr w:type="spellStart"/>
      <w:r w:rsidRPr="00A73E6C">
        <w:rPr>
          <w:rFonts w:ascii="Arial" w:hAnsi="Arial" w:cs="Arial"/>
          <w:i/>
          <w:sz w:val="24"/>
        </w:rPr>
        <w:t>IFAs</w:t>
      </w:r>
      <w:proofErr w:type="spellEnd"/>
      <w:r w:rsidRPr="00A73E6C">
        <w:rPr>
          <w:rFonts w:ascii="Arial" w:hAnsi="Arial" w:cs="Arial"/>
          <w:i/>
          <w:sz w:val="24"/>
        </w:rPr>
        <w:t xml:space="preserve"> na ANVISA</w:t>
      </w:r>
    </w:p>
    <w:p w:rsidR="00E30CBF" w:rsidRPr="00872429" w:rsidRDefault="00E30CBF" w:rsidP="00E30CBF">
      <w:pPr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 xml:space="preserve">O cadastro foi criado para ser o primeiro passo para o registro. Todas as empresas cadastradas (fabricantes de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e importadoras de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>) deveriam solicitar o Certificado de Boas Práticas de Fabricação (CBPF)</w:t>
      </w:r>
      <w:r w:rsidR="00A9245C">
        <w:rPr>
          <w:rFonts w:ascii="Arial" w:hAnsi="Arial" w:cs="Arial"/>
          <w:sz w:val="24"/>
          <w:vertAlign w:val="superscript"/>
        </w:rPr>
        <w:t>25</w:t>
      </w:r>
      <w:r w:rsidRPr="00872429">
        <w:rPr>
          <w:rFonts w:ascii="Arial" w:hAnsi="Arial" w:cs="Arial"/>
          <w:sz w:val="24"/>
        </w:rPr>
        <w:t xml:space="preserve"> e, assim, pleitear o registro. Além das empresas cadastradas, são obrigadas também a registrar o IFA as empresas farmacêuticas que importam diretamente os</w:t>
      </w:r>
      <w:r w:rsidR="00302397" w:rsidRPr="00872429">
        <w:rPr>
          <w:rFonts w:ascii="Arial" w:hAnsi="Arial" w:cs="Arial"/>
          <w:sz w:val="24"/>
        </w:rPr>
        <w:t xml:space="preserve"> medicamentos à base </w:t>
      </w:r>
      <w:proofErr w:type="gramStart"/>
      <w:r w:rsidR="00302397" w:rsidRPr="00872429">
        <w:rPr>
          <w:rFonts w:ascii="Arial" w:hAnsi="Arial" w:cs="Arial"/>
          <w:sz w:val="24"/>
        </w:rPr>
        <w:t>desse</w:t>
      </w:r>
      <w:proofErr w:type="gramEnd"/>
      <w:r w:rsidR="00302397" w:rsidRPr="00872429">
        <w:rPr>
          <w:rFonts w:ascii="Arial" w:hAnsi="Arial" w:cs="Arial"/>
          <w:sz w:val="24"/>
        </w:rPr>
        <w:t xml:space="preserve"> IFA</w:t>
      </w:r>
      <w:r w:rsidRPr="00872429">
        <w:rPr>
          <w:rFonts w:ascii="Arial" w:hAnsi="Arial" w:cs="Arial"/>
          <w:sz w:val="24"/>
        </w:rPr>
        <w:t>.</w:t>
      </w:r>
    </w:p>
    <w:p w:rsidR="00E30CBF" w:rsidRPr="00872429" w:rsidRDefault="003C686C" w:rsidP="00E30CB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3D20D8" w:rsidRPr="00872429">
        <w:rPr>
          <w:rFonts w:ascii="Arial" w:hAnsi="Arial" w:cs="Arial"/>
          <w:sz w:val="24"/>
        </w:rPr>
        <w:t xml:space="preserve"> estudo </w:t>
      </w:r>
      <w:r>
        <w:rPr>
          <w:rFonts w:ascii="Arial" w:hAnsi="Arial" w:cs="Arial"/>
          <w:sz w:val="24"/>
        </w:rPr>
        <w:t>investigou</w:t>
      </w:r>
      <w:r w:rsidR="00E30CBF" w:rsidRPr="00872429">
        <w:rPr>
          <w:rFonts w:ascii="Arial" w:hAnsi="Arial" w:cs="Arial"/>
          <w:sz w:val="24"/>
        </w:rPr>
        <w:t xml:space="preserve"> quais das empresas cadastradas</w:t>
      </w:r>
      <w:r w:rsidR="00740915" w:rsidRPr="00872429">
        <w:rPr>
          <w:rFonts w:ascii="Arial" w:hAnsi="Arial" w:cs="Arial"/>
          <w:sz w:val="24"/>
        </w:rPr>
        <w:t xml:space="preserve"> solicitaram o registro e quais</w:t>
      </w:r>
      <w:r w:rsidR="00E30CBF" w:rsidRPr="00872429">
        <w:rPr>
          <w:rFonts w:ascii="Arial" w:hAnsi="Arial" w:cs="Arial"/>
          <w:sz w:val="24"/>
        </w:rPr>
        <w:t xml:space="preserve"> o obtiveram. Também </w:t>
      </w:r>
      <w:r w:rsidR="00451AFD" w:rsidRPr="00872429">
        <w:rPr>
          <w:rFonts w:ascii="Arial" w:hAnsi="Arial" w:cs="Arial"/>
          <w:sz w:val="24"/>
        </w:rPr>
        <w:t xml:space="preserve">foi </w:t>
      </w:r>
      <w:r w:rsidR="00E30CBF" w:rsidRPr="00872429">
        <w:rPr>
          <w:rFonts w:ascii="Arial" w:hAnsi="Arial" w:cs="Arial"/>
          <w:sz w:val="24"/>
        </w:rPr>
        <w:t>levant</w:t>
      </w:r>
      <w:r w:rsidR="00451AFD" w:rsidRPr="00872429">
        <w:rPr>
          <w:rFonts w:ascii="Arial" w:hAnsi="Arial" w:cs="Arial"/>
          <w:sz w:val="24"/>
        </w:rPr>
        <w:t>ada</w:t>
      </w:r>
      <w:r w:rsidR="00E30CBF" w:rsidRPr="00872429">
        <w:rPr>
          <w:rFonts w:ascii="Arial" w:hAnsi="Arial" w:cs="Arial"/>
          <w:sz w:val="24"/>
        </w:rPr>
        <w:t xml:space="preserve"> a situação dos pedidos de registro - concedidos e não concedidos – desde 2010 até 2012 dos laboratórios farmacêuticos que importam diretamente os medicamentos. Para a obtenção do registro, contudo, é necessário que a </w:t>
      </w:r>
      <w:r w:rsidR="00E30CBF" w:rsidRPr="00872429">
        <w:rPr>
          <w:rFonts w:ascii="Arial" w:hAnsi="Arial" w:cs="Arial"/>
          <w:sz w:val="24"/>
        </w:rPr>
        <w:lastRenderedPageBreak/>
        <w:t>empresa fabricante do IFA, esteja ela no Brasil ou no exterior, seja aprovada em inspeção sanitária com vistas à obtenção do CBPF.</w:t>
      </w:r>
    </w:p>
    <w:p w:rsidR="00E30CBF" w:rsidRPr="00A73E6C" w:rsidRDefault="00E30CBF" w:rsidP="00A73E6C">
      <w:pPr>
        <w:spacing w:before="120"/>
        <w:ind w:firstLine="0"/>
        <w:rPr>
          <w:rFonts w:ascii="Arial" w:hAnsi="Arial" w:cs="Arial"/>
          <w:i/>
          <w:sz w:val="24"/>
        </w:rPr>
      </w:pPr>
      <w:r w:rsidRPr="00A73E6C">
        <w:rPr>
          <w:rFonts w:ascii="Arial" w:hAnsi="Arial" w:cs="Arial"/>
          <w:i/>
          <w:sz w:val="24"/>
        </w:rPr>
        <w:t xml:space="preserve">A certificação das empresas para obtenção do registro dos 20 </w:t>
      </w:r>
      <w:proofErr w:type="spellStart"/>
      <w:r w:rsidRPr="00A73E6C">
        <w:rPr>
          <w:rFonts w:ascii="Arial" w:hAnsi="Arial" w:cs="Arial"/>
          <w:i/>
          <w:sz w:val="24"/>
        </w:rPr>
        <w:t>IFAs</w:t>
      </w:r>
      <w:proofErr w:type="spellEnd"/>
    </w:p>
    <w:p w:rsidR="00E30CBF" w:rsidRPr="00872429" w:rsidRDefault="001C71D1" w:rsidP="00E30CBF">
      <w:pPr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>As empresas estabelecidas no país que exerce</w:t>
      </w:r>
      <w:r w:rsidR="00062722" w:rsidRPr="00872429">
        <w:rPr>
          <w:rFonts w:ascii="Arial" w:hAnsi="Arial" w:cs="Arial"/>
          <w:sz w:val="24"/>
        </w:rPr>
        <w:t>ssem as atividades de fabricar</w:t>
      </w:r>
      <w:proofErr w:type="gramStart"/>
      <w:r w:rsidR="00062722" w:rsidRPr="00872429">
        <w:rPr>
          <w:rFonts w:ascii="Arial" w:hAnsi="Arial" w:cs="Arial"/>
          <w:sz w:val="24"/>
        </w:rPr>
        <w:t xml:space="preserve">, </w:t>
      </w:r>
      <w:r w:rsidRPr="00872429">
        <w:rPr>
          <w:rFonts w:ascii="Arial" w:hAnsi="Arial" w:cs="Arial"/>
          <w:sz w:val="24"/>
        </w:rPr>
        <w:t>via</w:t>
      </w:r>
      <w:proofErr w:type="gramEnd"/>
      <w:r w:rsidRPr="00872429">
        <w:rPr>
          <w:rFonts w:ascii="Arial" w:hAnsi="Arial" w:cs="Arial"/>
          <w:sz w:val="24"/>
        </w:rPr>
        <w:t xml:space="preserve"> síntese química, ou importar os 20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="00A75C6D" w:rsidRPr="00872429">
        <w:rPr>
          <w:rFonts w:ascii="Arial" w:hAnsi="Arial" w:cs="Arial"/>
          <w:sz w:val="24"/>
        </w:rPr>
        <w:t xml:space="preserve"> </w:t>
      </w:r>
      <w:r w:rsidRPr="00872429">
        <w:rPr>
          <w:rFonts w:ascii="Arial" w:hAnsi="Arial" w:cs="Arial"/>
          <w:sz w:val="24"/>
        </w:rPr>
        <w:t>da IN n° 15/09 teriam que peticionar a solicitação de inspeção sanitária pela ANVISA para a emissão do CBPF</w:t>
      </w:r>
      <w:r w:rsidR="00601EEE" w:rsidRPr="00872429">
        <w:rPr>
          <w:rFonts w:ascii="Arial" w:hAnsi="Arial" w:cs="Arial"/>
          <w:sz w:val="24"/>
        </w:rPr>
        <w:t>,</w:t>
      </w:r>
      <w:r w:rsidRPr="00872429">
        <w:rPr>
          <w:rFonts w:ascii="Arial" w:hAnsi="Arial" w:cs="Arial"/>
          <w:sz w:val="24"/>
        </w:rPr>
        <w:t xml:space="preserve"> a partir de 01/02/10. Já para o registro desses insumos, a petição deveria ser feita no período de 01/07/10 a 30/12/10</w:t>
      </w:r>
      <w:r w:rsidR="00A9245C">
        <w:rPr>
          <w:rFonts w:ascii="Arial" w:hAnsi="Arial" w:cs="Arial"/>
          <w:sz w:val="24"/>
          <w:vertAlign w:val="superscript"/>
        </w:rPr>
        <w:t>26</w:t>
      </w:r>
      <w:r w:rsidRPr="00872429">
        <w:rPr>
          <w:rFonts w:ascii="Arial" w:hAnsi="Arial" w:cs="Arial"/>
          <w:sz w:val="24"/>
        </w:rPr>
        <w:t xml:space="preserve">. </w:t>
      </w:r>
    </w:p>
    <w:p w:rsidR="00E30CBF" w:rsidRPr="00872429" w:rsidRDefault="00E30CBF" w:rsidP="00E30CBF">
      <w:pPr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>As empresas nacionais fabricantes de insumos que à época não possuíam o CBPF deveriam solicitar a inspeção da ANVISA – baseada na RDC n° 249/05 – para a posterior obtenção. Já os fabricantes internacionais somente a partir de agosto de 2010, com a publicação da RDC n° 29</w:t>
      </w:r>
      <w:r w:rsidR="00451AFD" w:rsidRPr="00872429">
        <w:rPr>
          <w:rFonts w:ascii="Arial" w:hAnsi="Arial" w:cs="Arial"/>
          <w:sz w:val="24"/>
        </w:rPr>
        <w:t>(</w:t>
      </w:r>
      <w:r w:rsidR="000A1699" w:rsidRPr="00872429">
        <w:rPr>
          <w:rFonts w:ascii="Arial" w:hAnsi="Arial" w:cs="Arial"/>
          <w:sz w:val="24"/>
        </w:rPr>
        <w:t>Agência Nacional de Vigilância Sanitária</w:t>
      </w:r>
      <w:r w:rsidR="00451AFD" w:rsidRPr="00872429">
        <w:rPr>
          <w:rFonts w:ascii="Arial" w:hAnsi="Arial" w:cs="Arial"/>
          <w:sz w:val="24"/>
        </w:rPr>
        <w:t>, 2010)</w:t>
      </w:r>
      <w:r w:rsidR="00A75C6D" w:rsidRPr="00872429">
        <w:rPr>
          <w:rFonts w:ascii="Arial" w:hAnsi="Arial" w:cs="Arial"/>
          <w:sz w:val="24"/>
          <w:vertAlign w:val="superscript"/>
        </w:rPr>
        <w:t>2</w:t>
      </w:r>
      <w:r w:rsidR="00A9245C">
        <w:rPr>
          <w:rFonts w:ascii="Arial" w:hAnsi="Arial" w:cs="Arial"/>
          <w:sz w:val="24"/>
          <w:vertAlign w:val="superscript"/>
        </w:rPr>
        <w:t>7</w:t>
      </w:r>
      <w:r w:rsidRPr="00872429">
        <w:rPr>
          <w:rFonts w:ascii="Arial" w:hAnsi="Arial" w:cs="Arial"/>
          <w:sz w:val="24"/>
        </w:rPr>
        <w:t xml:space="preserve">, tiveram essas regras definidas. A RDC n° 29/10 estabeleceu o regulamento para a certificação de BPF dos fabricantes internacionais que pretendessem exportar para o país quaisquer dos 20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ou os medicamentos que os contenham, com a realização de inspeções nos seus parques industriais instalados fora do Brasil, seguindo as mesmas regras adotadas para as empresas fabricantes no país. </w:t>
      </w:r>
    </w:p>
    <w:p w:rsidR="00E30CBF" w:rsidRPr="00872429" w:rsidRDefault="00E30CBF" w:rsidP="00E30CBF">
      <w:pPr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 xml:space="preserve">A inspeção internacional tornou-se, então, uma ferramenta fundamental para a averiguação do cumprimento das boas práticas de fabricação, com vistas a assegurar a </w:t>
      </w:r>
      <w:r w:rsidR="00933B46" w:rsidRPr="00872429">
        <w:rPr>
          <w:rFonts w:ascii="Arial" w:hAnsi="Arial" w:cs="Arial"/>
          <w:sz w:val="24"/>
        </w:rPr>
        <w:t xml:space="preserve">qualidade dos </w:t>
      </w:r>
      <w:proofErr w:type="spellStart"/>
      <w:r w:rsidR="00933B46"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e a isonomia regulatória. A solicitação da certificação do fabricante internacional fica a cargo de cada empresa importadora do insumo ou </w:t>
      </w:r>
      <w:r w:rsidR="002D521F" w:rsidRPr="00872429">
        <w:rPr>
          <w:rFonts w:ascii="Arial" w:hAnsi="Arial" w:cs="Arial"/>
          <w:sz w:val="24"/>
        </w:rPr>
        <w:t xml:space="preserve">do </w:t>
      </w:r>
      <w:r w:rsidRPr="00872429">
        <w:rPr>
          <w:rFonts w:ascii="Arial" w:hAnsi="Arial" w:cs="Arial"/>
          <w:sz w:val="24"/>
        </w:rPr>
        <w:t>medicamento pronto.</w:t>
      </w:r>
    </w:p>
    <w:p w:rsidR="00E30CBF" w:rsidRPr="00A73E6C" w:rsidRDefault="00E30CBF" w:rsidP="00A73E6C">
      <w:pPr>
        <w:spacing w:before="120"/>
        <w:ind w:firstLine="0"/>
        <w:rPr>
          <w:rFonts w:ascii="Arial" w:hAnsi="Arial" w:cs="Arial"/>
          <w:i/>
          <w:sz w:val="24"/>
        </w:rPr>
      </w:pPr>
      <w:r w:rsidRPr="00A73E6C">
        <w:rPr>
          <w:rFonts w:ascii="Arial" w:hAnsi="Arial" w:cs="Arial"/>
          <w:i/>
          <w:sz w:val="24"/>
        </w:rPr>
        <w:t>A certificação de empresas farmoquímicas nacionais</w:t>
      </w:r>
    </w:p>
    <w:p w:rsidR="00E30CBF" w:rsidRPr="00872429" w:rsidRDefault="00E30CBF" w:rsidP="000B0956">
      <w:pPr>
        <w:rPr>
          <w:rFonts w:ascii="Arial" w:hAnsi="Arial" w:cs="Arial"/>
          <w:i/>
          <w:sz w:val="24"/>
        </w:rPr>
      </w:pPr>
      <w:r w:rsidRPr="00872429">
        <w:rPr>
          <w:rFonts w:ascii="Arial" w:hAnsi="Arial" w:cs="Arial"/>
          <w:sz w:val="24"/>
        </w:rPr>
        <w:t xml:space="preserve">Algumas empresas nacionais fabricantes de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já possuíam CBPF antes mesmo da exigência estabelecida pelo regulamento técnico para o registro. Inicialmente, o CBPF tinha validade de um ano, alterada para dois a partir de 2009. Dados sobre empresas nacionais fabricantes de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certificadas no período 2008-2012, obtidos através do </w:t>
      </w:r>
      <w:r w:rsidR="00373CCD" w:rsidRPr="00872429">
        <w:rPr>
          <w:rFonts w:ascii="Arial" w:hAnsi="Arial" w:cs="Arial"/>
          <w:sz w:val="24"/>
        </w:rPr>
        <w:t>sítio eletrônico</w:t>
      </w:r>
      <w:r w:rsidRPr="00872429">
        <w:rPr>
          <w:rFonts w:ascii="Arial" w:hAnsi="Arial" w:cs="Arial"/>
          <w:sz w:val="24"/>
        </w:rPr>
        <w:t xml:space="preserve"> da ANVISA, levaram a um número de 14 empresas fabricantes de fármacos por síntese química, dentre elas as seis que fabricam 11 dos 20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, com </w:t>
      </w:r>
      <w:proofErr w:type="spellStart"/>
      <w:r w:rsidRPr="00872429">
        <w:rPr>
          <w:rFonts w:ascii="Arial" w:hAnsi="Arial" w:cs="Arial"/>
          <w:sz w:val="24"/>
        </w:rPr>
        <w:t>CBPFs</w:t>
      </w:r>
      <w:proofErr w:type="spellEnd"/>
      <w:r w:rsidRPr="00872429">
        <w:rPr>
          <w:rFonts w:ascii="Arial" w:hAnsi="Arial" w:cs="Arial"/>
          <w:sz w:val="24"/>
        </w:rPr>
        <w:t xml:space="preserve"> válidos no período estabelecido pela ANVISA para a solicitação do registro. </w:t>
      </w:r>
    </w:p>
    <w:p w:rsidR="00E30CBF" w:rsidRPr="00A73E6C" w:rsidRDefault="00E30CBF" w:rsidP="00A73E6C">
      <w:pPr>
        <w:spacing w:before="120"/>
        <w:ind w:firstLine="0"/>
        <w:rPr>
          <w:rFonts w:ascii="Arial" w:hAnsi="Arial" w:cs="Arial"/>
          <w:i/>
          <w:sz w:val="24"/>
        </w:rPr>
      </w:pPr>
      <w:r w:rsidRPr="00A73E6C">
        <w:rPr>
          <w:rFonts w:ascii="Arial" w:hAnsi="Arial" w:cs="Arial"/>
          <w:i/>
          <w:sz w:val="24"/>
        </w:rPr>
        <w:t>A certificação de empresas farmoquímicas internacionais</w:t>
      </w:r>
    </w:p>
    <w:p w:rsidR="00E30CBF" w:rsidRPr="00872429" w:rsidRDefault="00E30CBF" w:rsidP="00E30CBF">
      <w:pPr>
        <w:tabs>
          <w:tab w:val="left" w:pos="1455"/>
          <w:tab w:val="left" w:pos="4980"/>
        </w:tabs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 xml:space="preserve">Assim como para a empresa nacional, o registro de fármacos de empresa fabricante internacional também </w:t>
      </w:r>
      <w:r w:rsidR="00601EEE" w:rsidRPr="00872429">
        <w:rPr>
          <w:rFonts w:ascii="Arial" w:hAnsi="Arial" w:cs="Arial"/>
          <w:sz w:val="24"/>
        </w:rPr>
        <w:t xml:space="preserve">requer o </w:t>
      </w:r>
      <w:r w:rsidRPr="00872429">
        <w:rPr>
          <w:rFonts w:ascii="Arial" w:hAnsi="Arial" w:cs="Arial"/>
          <w:sz w:val="24"/>
        </w:rPr>
        <w:t xml:space="preserve">CBPF concedido pela ANVISA, após a realização de inspeções (RDC n° 29/10). A validade </w:t>
      </w:r>
      <w:proofErr w:type="gramStart"/>
      <w:r w:rsidRPr="00872429">
        <w:rPr>
          <w:rFonts w:ascii="Arial" w:hAnsi="Arial" w:cs="Arial"/>
          <w:sz w:val="24"/>
        </w:rPr>
        <w:t>desse</w:t>
      </w:r>
      <w:proofErr w:type="gramEnd"/>
      <w:r w:rsidRPr="00872429">
        <w:rPr>
          <w:rFonts w:ascii="Arial" w:hAnsi="Arial" w:cs="Arial"/>
          <w:sz w:val="24"/>
        </w:rPr>
        <w:t xml:space="preserve"> CBPF é também de dois anos contados da </w:t>
      </w:r>
      <w:r w:rsidRPr="00872429">
        <w:rPr>
          <w:rFonts w:ascii="Arial" w:hAnsi="Arial" w:cs="Arial"/>
          <w:sz w:val="24"/>
        </w:rPr>
        <w:lastRenderedPageBreak/>
        <w:t>data de sua publicação no Diário Oficial da União (DOU) e é emitido em nome da empresa fabricante internacional, sendo mencionado o nome da empresa importadora solicitante.</w:t>
      </w:r>
    </w:p>
    <w:p w:rsidR="00E30CBF" w:rsidRPr="00872429" w:rsidRDefault="00E30CBF" w:rsidP="00E30CBF">
      <w:pPr>
        <w:tabs>
          <w:tab w:val="left" w:pos="1455"/>
          <w:tab w:val="left" w:pos="4980"/>
        </w:tabs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 xml:space="preserve">Por meio de informações disponibilizadas no sítio eletrônico da ANVISA e publicadas no DOU foi possível </w:t>
      </w:r>
      <w:proofErr w:type="gramStart"/>
      <w:r w:rsidR="00A878F2" w:rsidRPr="00872429">
        <w:rPr>
          <w:rFonts w:ascii="Arial" w:hAnsi="Arial" w:cs="Arial"/>
          <w:sz w:val="24"/>
        </w:rPr>
        <w:t>a</w:t>
      </w:r>
      <w:proofErr w:type="gramEnd"/>
      <w:r w:rsidR="00A878F2" w:rsidRPr="00872429">
        <w:rPr>
          <w:rFonts w:ascii="Arial" w:hAnsi="Arial" w:cs="Arial"/>
          <w:sz w:val="24"/>
        </w:rPr>
        <w:t xml:space="preserve"> identificação de</w:t>
      </w:r>
      <w:r w:rsidRPr="00872429">
        <w:rPr>
          <w:rFonts w:ascii="Arial" w:hAnsi="Arial" w:cs="Arial"/>
          <w:sz w:val="24"/>
        </w:rPr>
        <w:t xml:space="preserve"> um total de 42 diferentes empresas internacionais certificadas</w:t>
      </w:r>
      <w:r w:rsidR="00601EEE" w:rsidRPr="00872429">
        <w:rPr>
          <w:rFonts w:ascii="Arial" w:hAnsi="Arial" w:cs="Arial"/>
          <w:sz w:val="24"/>
        </w:rPr>
        <w:t>,</w:t>
      </w:r>
      <w:r w:rsidRPr="00872429">
        <w:rPr>
          <w:rFonts w:ascii="Arial" w:hAnsi="Arial" w:cs="Arial"/>
          <w:sz w:val="24"/>
        </w:rPr>
        <w:t xml:space="preserve"> de um total de 55 inspecionadas, ou seja, 76% de aprovações. Foi contabilizado um total de 96 certificações internacionais concedidas pela ANVISA para empresas fabricantes localizadas em 16 diferentes países nos anos de 2010, 2011 e 2012. </w:t>
      </w:r>
      <w:r w:rsidR="000B0696" w:rsidRPr="00872429">
        <w:rPr>
          <w:rFonts w:ascii="Arial" w:hAnsi="Arial" w:cs="Arial"/>
          <w:sz w:val="24"/>
        </w:rPr>
        <w:t>As certificações das</w:t>
      </w:r>
      <w:r w:rsidRPr="00872429">
        <w:rPr>
          <w:rFonts w:ascii="Arial" w:hAnsi="Arial" w:cs="Arial"/>
          <w:sz w:val="24"/>
        </w:rPr>
        <w:t xml:space="preserve"> 42 </w:t>
      </w:r>
      <w:r w:rsidR="000B0696" w:rsidRPr="00872429">
        <w:rPr>
          <w:rFonts w:ascii="Arial" w:hAnsi="Arial" w:cs="Arial"/>
          <w:sz w:val="24"/>
        </w:rPr>
        <w:t xml:space="preserve">diferentes empresas internacionais </w:t>
      </w:r>
      <w:r w:rsidRPr="00872429">
        <w:rPr>
          <w:rFonts w:ascii="Arial" w:hAnsi="Arial" w:cs="Arial"/>
          <w:sz w:val="24"/>
        </w:rPr>
        <w:t xml:space="preserve">foram solicitadas por 38 diferentes empresas localizadas no Brasil. </w:t>
      </w:r>
    </w:p>
    <w:p w:rsidR="00E30CBF" w:rsidRPr="00872429" w:rsidRDefault="00E30CBF" w:rsidP="00E30CBF">
      <w:pPr>
        <w:tabs>
          <w:tab w:val="left" w:pos="1455"/>
          <w:tab w:val="left" w:pos="4980"/>
        </w:tabs>
        <w:rPr>
          <w:rFonts w:ascii="Arial" w:hAnsi="Arial" w:cs="Arial"/>
          <w:sz w:val="24"/>
        </w:rPr>
        <w:sectPr w:rsidR="00E30CBF" w:rsidRPr="00872429" w:rsidSect="00A73E6C">
          <w:type w:val="continuous"/>
          <w:pgSz w:w="11906" w:h="16838"/>
          <w:pgMar w:top="1134" w:right="1134" w:bottom="1134" w:left="1134" w:header="709" w:footer="709" w:gutter="0"/>
          <w:lnNumType w:countBy="1"/>
          <w:cols w:space="708"/>
          <w:docGrid w:linePitch="360"/>
        </w:sectPr>
      </w:pPr>
    </w:p>
    <w:p w:rsidR="00E30CBF" w:rsidRPr="00872429" w:rsidRDefault="00E30CBF" w:rsidP="00E30CBF">
      <w:pPr>
        <w:rPr>
          <w:rFonts w:ascii="Arial" w:hAnsi="Arial" w:cs="Arial"/>
          <w:sz w:val="24"/>
        </w:rPr>
      </w:pPr>
      <w:proofErr w:type="gramStart"/>
      <w:r w:rsidRPr="00872429">
        <w:rPr>
          <w:rFonts w:ascii="Arial" w:hAnsi="Arial" w:cs="Arial"/>
          <w:sz w:val="24"/>
        </w:rPr>
        <w:lastRenderedPageBreak/>
        <w:t xml:space="preserve">A diminuição da participação da China na distribuição da origem das empresas fabricantes internacionais certificadas (quando comparada com </w:t>
      </w:r>
      <w:r w:rsidR="009E2534" w:rsidRPr="00872429">
        <w:rPr>
          <w:rFonts w:ascii="Arial" w:hAnsi="Arial" w:cs="Arial"/>
          <w:sz w:val="24"/>
        </w:rPr>
        <w:t>os dados</w:t>
      </w:r>
      <w:r w:rsidRPr="00872429">
        <w:rPr>
          <w:rFonts w:ascii="Arial" w:hAnsi="Arial" w:cs="Arial"/>
          <w:sz w:val="24"/>
        </w:rPr>
        <w:t xml:space="preserve"> dos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cadastrados)</w:t>
      </w:r>
      <w:proofErr w:type="gramEnd"/>
      <w:r w:rsidRPr="00872429">
        <w:rPr>
          <w:rFonts w:ascii="Arial" w:hAnsi="Arial" w:cs="Arial"/>
          <w:sz w:val="24"/>
        </w:rPr>
        <w:t xml:space="preserve"> comprova a hipótese de que havia fornecimento para o Brasil de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fabricados sem BPF, </w:t>
      </w:r>
      <w:r w:rsidR="00895A0F" w:rsidRPr="00872429">
        <w:rPr>
          <w:rFonts w:ascii="Arial" w:hAnsi="Arial" w:cs="Arial"/>
          <w:sz w:val="24"/>
        </w:rPr>
        <w:t xml:space="preserve">por parte </w:t>
      </w:r>
      <w:r w:rsidRPr="00872429">
        <w:rPr>
          <w:rFonts w:ascii="Arial" w:hAnsi="Arial" w:cs="Arial"/>
          <w:sz w:val="24"/>
        </w:rPr>
        <w:t xml:space="preserve">de empresas desse país. O mesmo acontece com a Índia. </w:t>
      </w:r>
    </w:p>
    <w:p w:rsidR="00E30CBF" w:rsidRPr="00872429" w:rsidRDefault="00E30CBF" w:rsidP="00E30CBF">
      <w:pPr>
        <w:rPr>
          <w:rFonts w:ascii="Arial" w:hAnsi="Arial" w:cs="Arial"/>
          <w:sz w:val="24"/>
        </w:rPr>
        <w:sectPr w:rsidR="00E30CBF" w:rsidRPr="00872429" w:rsidSect="00A73E6C">
          <w:type w:val="continuous"/>
          <w:pgSz w:w="11906" w:h="16838"/>
          <w:pgMar w:top="1134" w:right="1134" w:bottom="1134" w:left="1134" w:header="709" w:footer="709" w:gutter="0"/>
          <w:lnNumType w:countBy="1"/>
          <w:cols w:space="708"/>
          <w:docGrid w:linePitch="360"/>
        </w:sectPr>
      </w:pPr>
    </w:p>
    <w:p w:rsidR="00E30CBF" w:rsidRPr="00872429" w:rsidRDefault="00E30CBF" w:rsidP="00E30CBF">
      <w:pPr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lastRenderedPageBreak/>
        <w:t xml:space="preserve">Após identificar e quantificar as empresas nacionais e internacionais que obtiveram os </w:t>
      </w:r>
      <w:proofErr w:type="spellStart"/>
      <w:r w:rsidR="00451AFD" w:rsidRPr="00872429">
        <w:rPr>
          <w:rFonts w:ascii="Arial" w:hAnsi="Arial" w:cs="Arial"/>
          <w:sz w:val="24"/>
        </w:rPr>
        <w:t>CBPFs</w:t>
      </w:r>
      <w:proofErr w:type="spellEnd"/>
      <w:r w:rsidRPr="00872429">
        <w:rPr>
          <w:rFonts w:ascii="Arial" w:hAnsi="Arial" w:cs="Arial"/>
          <w:sz w:val="24"/>
        </w:rPr>
        <w:t xml:space="preserve">, o estudo levantou os registros concedidos pela ANVISA para os 20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. </w:t>
      </w:r>
    </w:p>
    <w:p w:rsidR="00E30CBF" w:rsidRPr="00872429" w:rsidRDefault="00E30CBF" w:rsidP="00E30CBF">
      <w:pPr>
        <w:rPr>
          <w:rFonts w:ascii="Arial" w:hAnsi="Arial" w:cs="Arial"/>
          <w:sz w:val="24"/>
        </w:rPr>
        <w:sectPr w:rsidR="00E30CBF" w:rsidRPr="00872429" w:rsidSect="00A73E6C">
          <w:type w:val="continuous"/>
          <w:pgSz w:w="11906" w:h="16838"/>
          <w:pgMar w:top="1134" w:right="1134" w:bottom="1134" w:left="1134" w:header="709" w:footer="709" w:gutter="0"/>
          <w:lnNumType w:countBy="1"/>
          <w:cols w:space="708"/>
          <w:docGrid w:linePitch="360"/>
        </w:sectPr>
      </w:pPr>
    </w:p>
    <w:p w:rsidR="00E30CBF" w:rsidRPr="00A73E6C" w:rsidRDefault="00451AFD" w:rsidP="00A73E6C">
      <w:pPr>
        <w:spacing w:before="120"/>
        <w:ind w:firstLine="0"/>
        <w:rPr>
          <w:rFonts w:ascii="Arial" w:hAnsi="Arial" w:cs="Arial"/>
          <w:i/>
          <w:sz w:val="24"/>
        </w:rPr>
      </w:pPr>
      <w:r w:rsidRPr="00A73E6C">
        <w:rPr>
          <w:rFonts w:ascii="Arial" w:hAnsi="Arial" w:cs="Arial"/>
          <w:i/>
          <w:sz w:val="24"/>
        </w:rPr>
        <w:lastRenderedPageBreak/>
        <w:t>Os r</w:t>
      </w:r>
      <w:r w:rsidR="00E30CBF" w:rsidRPr="00A73E6C">
        <w:rPr>
          <w:rFonts w:ascii="Arial" w:hAnsi="Arial" w:cs="Arial"/>
          <w:i/>
          <w:sz w:val="24"/>
        </w:rPr>
        <w:t>egistro</w:t>
      </w:r>
      <w:r w:rsidRPr="00A73E6C">
        <w:rPr>
          <w:rFonts w:ascii="Arial" w:hAnsi="Arial" w:cs="Arial"/>
          <w:i/>
          <w:sz w:val="24"/>
        </w:rPr>
        <w:t>s</w:t>
      </w:r>
      <w:r w:rsidR="00E30CBF" w:rsidRPr="00A73E6C">
        <w:rPr>
          <w:rFonts w:ascii="Arial" w:hAnsi="Arial" w:cs="Arial"/>
          <w:i/>
          <w:sz w:val="24"/>
        </w:rPr>
        <w:t xml:space="preserve"> concedidos</w:t>
      </w:r>
    </w:p>
    <w:p w:rsidR="00E30CBF" w:rsidRPr="00872429" w:rsidRDefault="00A41715" w:rsidP="00E30CBF">
      <w:pPr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 xml:space="preserve">Com </w:t>
      </w:r>
      <w:r w:rsidR="00451AFD" w:rsidRPr="00872429">
        <w:rPr>
          <w:rFonts w:ascii="Arial" w:hAnsi="Arial" w:cs="Arial"/>
          <w:sz w:val="24"/>
        </w:rPr>
        <w:t xml:space="preserve">o levantamento </w:t>
      </w:r>
      <w:r w:rsidRPr="00872429">
        <w:rPr>
          <w:rFonts w:ascii="Arial" w:hAnsi="Arial" w:cs="Arial"/>
          <w:sz w:val="24"/>
        </w:rPr>
        <w:t>do</w:t>
      </w:r>
      <w:r w:rsidR="00451AFD" w:rsidRPr="00872429">
        <w:rPr>
          <w:rFonts w:ascii="Arial" w:hAnsi="Arial" w:cs="Arial"/>
          <w:sz w:val="24"/>
        </w:rPr>
        <w:t>s</w:t>
      </w:r>
      <w:r w:rsidRPr="00872429">
        <w:rPr>
          <w:rFonts w:ascii="Arial" w:hAnsi="Arial" w:cs="Arial"/>
          <w:sz w:val="24"/>
        </w:rPr>
        <w:t xml:space="preserve"> registro</w:t>
      </w:r>
      <w:r w:rsidR="00451AFD" w:rsidRPr="00872429">
        <w:rPr>
          <w:rFonts w:ascii="Arial" w:hAnsi="Arial" w:cs="Arial"/>
          <w:sz w:val="24"/>
        </w:rPr>
        <w:t>s concedidos</w:t>
      </w:r>
      <w:r w:rsidRPr="00872429">
        <w:rPr>
          <w:rFonts w:ascii="Arial" w:hAnsi="Arial" w:cs="Arial"/>
          <w:sz w:val="24"/>
        </w:rPr>
        <w:t>, u</w:t>
      </w:r>
      <w:r w:rsidR="00E30CBF" w:rsidRPr="00872429">
        <w:rPr>
          <w:rFonts w:ascii="Arial" w:hAnsi="Arial" w:cs="Arial"/>
          <w:sz w:val="24"/>
        </w:rPr>
        <w:t xml:space="preserve">ma </w:t>
      </w:r>
      <w:r w:rsidR="005C2DF1" w:rsidRPr="00872429">
        <w:rPr>
          <w:rFonts w:ascii="Arial" w:hAnsi="Arial" w:cs="Arial"/>
          <w:sz w:val="24"/>
        </w:rPr>
        <w:t>informação importante sobre o</w:t>
      </w:r>
      <w:r w:rsidR="00E30CBF" w:rsidRPr="00872429">
        <w:rPr>
          <w:rFonts w:ascii="Arial" w:hAnsi="Arial" w:cs="Arial"/>
          <w:sz w:val="24"/>
        </w:rPr>
        <w:t xml:space="preserve"> cenário farmoquímico brasileiro foi obtida: dos 18 pedidos possíveis de registro de fabricantes nacionais</w:t>
      </w:r>
      <w:r w:rsidR="00055D34" w:rsidRPr="00872429">
        <w:rPr>
          <w:rFonts w:ascii="Arial" w:hAnsi="Arial" w:cs="Arial"/>
          <w:sz w:val="24"/>
        </w:rPr>
        <w:t xml:space="preserve"> (número de produtos cadastrados pelas seis empresas fabricantes)</w:t>
      </w:r>
      <w:r w:rsidR="00E30CBF" w:rsidRPr="00872429">
        <w:rPr>
          <w:rFonts w:ascii="Arial" w:hAnsi="Arial" w:cs="Arial"/>
          <w:sz w:val="24"/>
        </w:rPr>
        <w:t xml:space="preserve">, 15 foram concedidos, ou seja, 83%. Não foi possível, no entanto, precisar se os outros três pedidos foram indeferidos pela ANVISA, se estariam ainda em processo de análise, no período investigado, ou mesmo se foram solicitados. </w:t>
      </w:r>
      <w:r w:rsidR="00696B30" w:rsidRPr="00872429">
        <w:rPr>
          <w:rFonts w:ascii="Arial" w:hAnsi="Arial" w:cs="Arial"/>
          <w:sz w:val="24"/>
        </w:rPr>
        <w:t xml:space="preserve">Pode-se concluir, portanto, que mais de 80% das empresas com fabricação local desses 20 </w:t>
      </w:r>
      <w:proofErr w:type="spellStart"/>
      <w:r w:rsidR="00696B30" w:rsidRPr="00872429">
        <w:rPr>
          <w:rFonts w:ascii="Arial" w:hAnsi="Arial" w:cs="Arial"/>
          <w:sz w:val="24"/>
        </w:rPr>
        <w:t>IFAs</w:t>
      </w:r>
      <w:proofErr w:type="spellEnd"/>
      <w:r w:rsidR="00696B30" w:rsidRPr="00872429">
        <w:rPr>
          <w:rFonts w:ascii="Arial" w:hAnsi="Arial" w:cs="Arial"/>
          <w:sz w:val="24"/>
        </w:rPr>
        <w:t xml:space="preserve"> estão aptas a fornecer insumos de qualidade assegurada para os laboratórios que fabricam medicamentos no Brasil.</w:t>
      </w:r>
    </w:p>
    <w:p w:rsidR="00E30CBF" w:rsidRPr="00872429" w:rsidRDefault="00E30CBF" w:rsidP="00E30CBF">
      <w:pPr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>O mesmo não se verifica com as empresas internacionais, de um total de 102 pedidos possíveis de registro (de 42 diferentes empresas) somente 35 conseguiram obtê-lo; ou seja, 34%, o que se faz supor que os fabricantes dos demais pedidos internacionais não tiveram os requisitos de BPF aprovados pela ANVISA</w:t>
      </w:r>
      <w:r w:rsidR="00020F2B" w:rsidRPr="00872429">
        <w:rPr>
          <w:rFonts w:ascii="Arial" w:hAnsi="Arial" w:cs="Arial"/>
          <w:sz w:val="24"/>
        </w:rPr>
        <w:t>,</w:t>
      </w:r>
      <w:r w:rsidRPr="00872429">
        <w:rPr>
          <w:rFonts w:ascii="Arial" w:hAnsi="Arial" w:cs="Arial"/>
          <w:sz w:val="24"/>
        </w:rPr>
        <w:t xml:space="preserve"> foram substituídos por outros por decisão do cliente no Brasil</w:t>
      </w:r>
      <w:r w:rsidR="00020F2B" w:rsidRPr="00872429">
        <w:rPr>
          <w:rFonts w:ascii="Arial" w:hAnsi="Arial" w:cs="Arial"/>
          <w:sz w:val="24"/>
        </w:rPr>
        <w:t xml:space="preserve"> (laboratório farmacêutico ou distribuidor)</w:t>
      </w:r>
      <w:r w:rsidRPr="00872429">
        <w:rPr>
          <w:rFonts w:ascii="Arial" w:hAnsi="Arial" w:cs="Arial"/>
          <w:sz w:val="24"/>
        </w:rPr>
        <w:t xml:space="preserve">, ou não tiveram interesse em ter seus produtos registrados no </w:t>
      </w:r>
      <w:r w:rsidR="00055D34" w:rsidRPr="00872429">
        <w:rPr>
          <w:rFonts w:ascii="Arial" w:hAnsi="Arial" w:cs="Arial"/>
          <w:sz w:val="24"/>
        </w:rPr>
        <w:t>país</w:t>
      </w:r>
      <w:r w:rsidRPr="00872429">
        <w:rPr>
          <w:rFonts w:ascii="Arial" w:hAnsi="Arial" w:cs="Arial"/>
          <w:sz w:val="24"/>
        </w:rPr>
        <w:t>.</w:t>
      </w:r>
    </w:p>
    <w:p w:rsidR="00E30CBF" w:rsidRPr="00872429" w:rsidRDefault="00E30CBF" w:rsidP="00E30CBF">
      <w:pPr>
        <w:rPr>
          <w:rFonts w:ascii="Arial" w:hAnsi="Arial" w:cs="Arial"/>
          <w:sz w:val="24"/>
        </w:rPr>
      </w:pPr>
      <w:r w:rsidRPr="00872429">
        <w:rPr>
          <w:rFonts w:ascii="Arial" w:eastAsia="Times New Roman" w:hAnsi="Arial" w:cs="Arial"/>
          <w:sz w:val="24"/>
          <w:lang w:eastAsia="pt-BR"/>
        </w:rPr>
        <w:t xml:space="preserve">Do total dos 20 insumos estudados, dois não contabilizaram nenhum registro concedido até o final de 2012: </w:t>
      </w:r>
      <w:proofErr w:type="spellStart"/>
      <w:r w:rsidRPr="00872429">
        <w:rPr>
          <w:rFonts w:ascii="Arial" w:eastAsia="Times New Roman" w:hAnsi="Arial" w:cs="Arial"/>
          <w:sz w:val="24"/>
          <w:lang w:eastAsia="pt-BR"/>
        </w:rPr>
        <w:t>Penicilamina</w:t>
      </w:r>
      <w:proofErr w:type="spellEnd"/>
      <w:r w:rsidRPr="00872429">
        <w:rPr>
          <w:rFonts w:ascii="Arial" w:eastAsia="Times New Roman" w:hAnsi="Arial" w:cs="Arial"/>
          <w:sz w:val="24"/>
          <w:lang w:eastAsia="pt-BR"/>
        </w:rPr>
        <w:t xml:space="preserve"> e Tiabendazol. Da relação de registro</w:t>
      </w:r>
      <w:r w:rsidR="00995212" w:rsidRPr="00872429">
        <w:rPr>
          <w:rFonts w:ascii="Arial" w:eastAsia="Times New Roman" w:hAnsi="Arial" w:cs="Arial"/>
          <w:sz w:val="24"/>
          <w:lang w:eastAsia="pt-BR"/>
        </w:rPr>
        <w:t>s obtidos</w:t>
      </w:r>
      <w:r w:rsidR="006A4B4B" w:rsidRPr="00872429">
        <w:rPr>
          <w:rFonts w:ascii="Arial" w:eastAsia="Times New Roman" w:hAnsi="Arial" w:cs="Arial"/>
          <w:sz w:val="24"/>
          <w:lang w:eastAsia="pt-BR"/>
        </w:rPr>
        <w:t xml:space="preserve"> até dezembro de 2012, </w:t>
      </w:r>
      <w:r w:rsidRPr="00872429">
        <w:rPr>
          <w:rFonts w:ascii="Arial" w:eastAsia="Times New Roman" w:hAnsi="Arial" w:cs="Arial"/>
          <w:sz w:val="24"/>
          <w:lang w:eastAsia="pt-BR"/>
        </w:rPr>
        <w:t xml:space="preserve">82 ao total, </w:t>
      </w:r>
      <w:r w:rsidR="00DC6637" w:rsidRPr="00872429">
        <w:rPr>
          <w:rFonts w:ascii="Arial" w:eastAsia="Times New Roman" w:hAnsi="Arial" w:cs="Arial"/>
          <w:sz w:val="24"/>
          <w:lang w:eastAsia="pt-BR"/>
        </w:rPr>
        <w:t xml:space="preserve">cerca de </w:t>
      </w:r>
      <w:r w:rsidRPr="00872429">
        <w:rPr>
          <w:rFonts w:ascii="Arial" w:eastAsia="Times New Roman" w:hAnsi="Arial" w:cs="Arial"/>
          <w:sz w:val="24"/>
          <w:lang w:eastAsia="pt-BR"/>
        </w:rPr>
        <w:t>20% são</w:t>
      </w:r>
      <w:r w:rsidR="00A41715" w:rsidRPr="00872429">
        <w:rPr>
          <w:rFonts w:ascii="Arial" w:eastAsia="Times New Roman" w:hAnsi="Arial" w:cs="Arial"/>
          <w:sz w:val="24"/>
          <w:lang w:eastAsia="pt-BR"/>
        </w:rPr>
        <w:t xml:space="preserve"> de </w:t>
      </w:r>
      <w:proofErr w:type="spellStart"/>
      <w:r w:rsidR="00995212" w:rsidRPr="00872429">
        <w:rPr>
          <w:rFonts w:ascii="Arial" w:eastAsia="Times New Roman" w:hAnsi="Arial" w:cs="Arial"/>
          <w:sz w:val="24"/>
          <w:lang w:eastAsia="pt-BR"/>
        </w:rPr>
        <w:t>IFAs</w:t>
      </w:r>
      <w:proofErr w:type="spellEnd"/>
      <w:r w:rsidR="0066724F" w:rsidRPr="00872429">
        <w:rPr>
          <w:rFonts w:ascii="Arial" w:eastAsia="Times New Roman" w:hAnsi="Arial" w:cs="Arial"/>
          <w:sz w:val="24"/>
          <w:lang w:eastAsia="pt-BR"/>
        </w:rPr>
        <w:t xml:space="preserve"> </w:t>
      </w:r>
      <w:r w:rsidR="00995212" w:rsidRPr="00872429">
        <w:rPr>
          <w:rFonts w:ascii="Arial" w:eastAsia="Times New Roman" w:hAnsi="Arial" w:cs="Arial"/>
          <w:sz w:val="24"/>
          <w:lang w:eastAsia="pt-BR"/>
        </w:rPr>
        <w:t xml:space="preserve">de </w:t>
      </w:r>
      <w:r w:rsidR="00A41715" w:rsidRPr="00872429">
        <w:rPr>
          <w:rFonts w:ascii="Arial" w:eastAsia="Times New Roman" w:hAnsi="Arial" w:cs="Arial"/>
          <w:sz w:val="24"/>
          <w:lang w:eastAsia="pt-BR"/>
        </w:rPr>
        <w:t xml:space="preserve">origem nacional, </w:t>
      </w:r>
      <w:r w:rsidR="00A41715" w:rsidRPr="00872429">
        <w:rPr>
          <w:rFonts w:ascii="Arial" w:eastAsia="Times New Roman" w:hAnsi="Arial" w:cs="Arial"/>
          <w:sz w:val="24"/>
          <w:lang w:eastAsia="pt-BR"/>
        </w:rPr>
        <w:lastRenderedPageBreak/>
        <w:t>ou seja, 15</w:t>
      </w:r>
      <w:r w:rsidRPr="00872429">
        <w:rPr>
          <w:rFonts w:ascii="Arial" w:eastAsia="Times New Roman" w:hAnsi="Arial" w:cs="Arial"/>
          <w:sz w:val="24"/>
          <w:lang w:eastAsia="pt-BR"/>
        </w:rPr>
        <w:t xml:space="preserve"> e </w:t>
      </w:r>
      <w:r w:rsidR="00DC6637" w:rsidRPr="00872429">
        <w:rPr>
          <w:rFonts w:ascii="Arial" w:eastAsia="Times New Roman" w:hAnsi="Arial" w:cs="Arial"/>
          <w:sz w:val="24"/>
          <w:lang w:eastAsia="pt-BR"/>
        </w:rPr>
        <w:t xml:space="preserve">cerca de </w:t>
      </w:r>
      <w:r w:rsidRPr="00872429">
        <w:rPr>
          <w:rFonts w:ascii="Arial" w:eastAsia="Times New Roman" w:hAnsi="Arial" w:cs="Arial"/>
          <w:sz w:val="24"/>
          <w:lang w:eastAsia="pt-BR"/>
        </w:rPr>
        <w:t xml:space="preserve">80% são de origem estrangeira. Dois dos 18 </w:t>
      </w:r>
      <w:proofErr w:type="spellStart"/>
      <w:r w:rsidRPr="00872429">
        <w:rPr>
          <w:rFonts w:ascii="Arial" w:eastAsia="Times New Roman" w:hAnsi="Arial" w:cs="Arial"/>
          <w:sz w:val="24"/>
          <w:lang w:eastAsia="pt-BR"/>
        </w:rPr>
        <w:t>IFAs</w:t>
      </w:r>
      <w:proofErr w:type="spellEnd"/>
      <w:r w:rsidRPr="00872429">
        <w:rPr>
          <w:rFonts w:ascii="Arial" w:eastAsia="Times New Roman" w:hAnsi="Arial" w:cs="Arial"/>
          <w:sz w:val="24"/>
          <w:lang w:eastAsia="pt-BR"/>
        </w:rPr>
        <w:t xml:space="preserve"> com registro - Carbonato de Lítio e </w:t>
      </w:r>
      <w:proofErr w:type="spellStart"/>
      <w:r w:rsidRPr="00872429">
        <w:rPr>
          <w:rFonts w:ascii="Arial" w:eastAsia="Times New Roman" w:hAnsi="Arial" w:cs="Arial"/>
          <w:sz w:val="24"/>
          <w:lang w:eastAsia="pt-BR"/>
        </w:rPr>
        <w:t>Fenitoína</w:t>
      </w:r>
      <w:proofErr w:type="spellEnd"/>
      <w:r w:rsidRPr="00872429">
        <w:rPr>
          <w:rFonts w:ascii="Arial" w:eastAsia="Times New Roman" w:hAnsi="Arial" w:cs="Arial"/>
          <w:sz w:val="24"/>
          <w:lang w:eastAsia="pt-BR"/>
        </w:rPr>
        <w:t xml:space="preserve"> - foram registrados apenas por empresas brasileiras. Já os </w:t>
      </w:r>
      <w:proofErr w:type="spellStart"/>
      <w:r w:rsidRPr="00872429">
        <w:rPr>
          <w:rFonts w:ascii="Arial" w:eastAsia="Times New Roman" w:hAnsi="Arial" w:cs="Arial"/>
          <w:sz w:val="24"/>
          <w:lang w:eastAsia="pt-BR"/>
        </w:rPr>
        <w:t>IFAs</w:t>
      </w:r>
      <w:proofErr w:type="spellEnd"/>
      <w:r w:rsidRPr="00872429">
        <w:rPr>
          <w:rFonts w:ascii="Arial" w:eastAsia="Times New Roman" w:hAnsi="Arial" w:cs="Arial"/>
          <w:sz w:val="24"/>
          <w:lang w:eastAsia="pt-BR"/>
        </w:rPr>
        <w:t xml:space="preserve">: Ampicilina, Ciclofosfamida, Ciclosporina, </w:t>
      </w:r>
      <w:proofErr w:type="spellStart"/>
      <w:r w:rsidRPr="00872429">
        <w:rPr>
          <w:rFonts w:ascii="Arial" w:eastAsia="Times New Roman" w:hAnsi="Arial" w:cs="Arial"/>
          <w:sz w:val="24"/>
          <w:lang w:eastAsia="pt-BR"/>
        </w:rPr>
        <w:t>Ciprofloxacino</w:t>
      </w:r>
      <w:proofErr w:type="spellEnd"/>
      <w:r w:rsidRPr="00872429">
        <w:rPr>
          <w:rFonts w:ascii="Arial" w:eastAsia="Times New Roman" w:hAnsi="Arial" w:cs="Arial"/>
          <w:sz w:val="24"/>
          <w:lang w:eastAsia="pt-BR"/>
        </w:rPr>
        <w:t xml:space="preserve">, Cloridrato de </w:t>
      </w:r>
      <w:proofErr w:type="spellStart"/>
      <w:r w:rsidRPr="00872429">
        <w:rPr>
          <w:rFonts w:ascii="Arial" w:eastAsia="Times New Roman" w:hAnsi="Arial" w:cs="Arial"/>
          <w:sz w:val="24"/>
          <w:lang w:eastAsia="pt-BR"/>
        </w:rPr>
        <w:t>Clindamicina</w:t>
      </w:r>
      <w:proofErr w:type="spellEnd"/>
      <w:r w:rsidRPr="00872429">
        <w:rPr>
          <w:rFonts w:ascii="Arial" w:eastAsia="Times New Roman" w:hAnsi="Arial" w:cs="Arial"/>
          <w:sz w:val="24"/>
          <w:lang w:eastAsia="pt-BR"/>
        </w:rPr>
        <w:t xml:space="preserve">, </w:t>
      </w:r>
      <w:proofErr w:type="spellStart"/>
      <w:r w:rsidRPr="00872429">
        <w:rPr>
          <w:rFonts w:ascii="Arial" w:eastAsia="Times New Roman" w:hAnsi="Arial" w:cs="Arial"/>
          <w:sz w:val="24"/>
          <w:lang w:eastAsia="pt-BR"/>
        </w:rPr>
        <w:t>Clozapina</w:t>
      </w:r>
      <w:proofErr w:type="spellEnd"/>
      <w:r w:rsidRPr="00872429">
        <w:rPr>
          <w:rFonts w:ascii="Arial" w:eastAsia="Times New Roman" w:hAnsi="Arial" w:cs="Arial"/>
          <w:sz w:val="24"/>
          <w:lang w:eastAsia="pt-BR"/>
        </w:rPr>
        <w:t xml:space="preserve">, </w:t>
      </w:r>
      <w:proofErr w:type="spellStart"/>
      <w:r w:rsidRPr="00872429">
        <w:rPr>
          <w:rFonts w:ascii="Arial" w:eastAsia="Times New Roman" w:hAnsi="Arial" w:cs="Arial"/>
          <w:sz w:val="24"/>
          <w:lang w:eastAsia="pt-BR"/>
        </w:rPr>
        <w:t>Metotrexato</w:t>
      </w:r>
      <w:proofErr w:type="spellEnd"/>
      <w:r w:rsidRPr="00872429">
        <w:rPr>
          <w:rFonts w:ascii="Arial" w:eastAsia="Times New Roman" w:hAnsi="Arial" w:cs="Arial"/>
          <w:sz w:val="24"/>
          <w:lang w:eastAsia="pt-BR"/>
        </w:rPr>
        <w:t xml:space="preserve">, </w:t>
      </w:r>
      <w:proofErr w:type="spellStart"/>
      <w:r w:rsidRPr="00872429">
        <w:rPr>
          <w:rFonts w:ascii="Arial" w:eastAsia="Times New Roman" w:hAnsi="Arial" w:cs="Arial"/>
          <w:sz w:val="24"/>
          <w:lang w:eastAsia="pt-BR"/>
        </w:rPr>
        <w:t>Nevirapina</w:t>
      </w:r>
      <w:proofErr w:type="spellEnd"/>
      <w:r w:rsidRPr="00872429">
        <w:rPr>
          <w:rFonts w:ascii="Arial" w:eastAsia="Times New Roman" w:hAnsi="Arial" w:cs="Arial"/>
          <w:sz w:val="24"/>
          <w:lang w:eastAsia="pt-BR"/>
        </w:rPr>
        <w:t xml:space="preserve"> e Rifampicina – nove ao total – não apresentaram empresas nacionais como </w:t>
      </w:r>
      <w:proofErr w:type="spellStart"/>
      <w:r w:rsidRPr="00872429">
        <w:rPr>
          <w:rFonts w:ascii="Arial" w:eastAsia="Times New Roman" w:hAnsi="Arial" w:cs="Arial"/>
          <w:sz w:val="24"/>
          <w:lang w:eastAsia="pt-BR"/>
        </w:rPr>
        <w:t>registrantes</w:t>
      </w:r>
      <w:proofErr w:type="spellEnd"/>
      <w:r w:rsidRPr="00872429">
        <w:rPr>
          <w:rFonts w:ascii="Arial" w:eastAsia="Times New Roman" w:hAnsi="Arial" w:cs="Arial"/>
          <w:sz w:val="24"/>
          <w:lang w:eastAsia="pt-BR"/>
        </w:rPr>
        <w:t xml:space="preserve">. </w:t>
      </w:r>
      <w:r w:rsidR="00451AFD" w:rsidRPr="00872429">
        <w:rPr>
          <w:rFonts w:ascii="Arial" w:eastAsia="Times New Roman" w:hAnsi="Arial" w:cs="Arial"/>
          <w:sz w:val="24"/>
          <w:lang w:eastAsia="pt-BR"/>
        </w:rPr>
        <w:t>Os</w:t>
      </w:r>
      <w:r w:rsidR="00A75C6D" w:rsidRPr="00872429">
        <w:rPr>
          <w:rFonts w:ascii="Arial" w:eastAsia="Times New Roman" w:hAnsi="Arial" w:cs="Arial"/>
          <w:sz w:val="24"/>
          <w:lang w:eastAsia="pt-BR"/>
        </w:rPr>
        <w:t xml:space="preserve"> </w:t>
      </w:r>
      <w:proofErr w:type="spellStart"/>
      <w:r w:rsidRPr="00872429">
        <w:rPr>
          <w:rFonts w:ascii="Arial" w:eastAsia="Times New Roman" w:hAnsi="Arial" w:cs="Arial"/>
          <w:sz w:val="24"/>
          <w:lang w:eastAsia="pt-BR"/>
        </w:rPr>
        <w:t>IFAs</w:t>
      </w:r>
      <w:proofErr w:type="spellEnd"/>
      <w:r w:rsidR="00A75C6D" w:rsidRPr="00872429">
        <w:rPr>
          <w:rFonts w:ascii="Arial" w:eastAsia="Times New Roman" w:hAnsi="Arial" w:cs="Arial"/>
          <w:sz w:val="24"/>
          <w:lang w:eastAsia="pt-BR"/>
        </w:rPr>
        <w:t xml:space="preserve"> </w:t>
      </w:r>
      <w:proofErr w:type="spellStart"/>
      <w:r w:rsidRPr="00872429">
        <w:rPr>
          <w:rFonts w:ascii="Arial" w:eastAsia="Times New Roman" w:hAnsi="Arial" w:cs="Arial"/>
          <w:sz w:val="24"/>
          <w:lang w:eastAsia="pt-BR"/>
        </w:rPr>
        <w:t>Nevirapina</w:t>
      </w:r>
      <w:proofErr w:type="spellEnd"/>
      <w:r w:rsidRPr="00872429">
        <w:rPr>
          <w:rFonts w:ascii="Arial" w:eastAsia="Times New Roman" w:hAnsi="Arial" w:cs="Arial"/>
          <w:sz w:val="24"/>
          <w:lang w:eastAsia="pt-BR"/>
        </w:rPr>
        <w:t xml:space="preserve"> e Tiabendazol não computaram registro pela empresa fabricante nacional. </w:t>
      </w:r>
      <w:r w:rsidRPr="00872429">
        <w:rPr>
          <w:rFonts w:ascii="Arial" w:hAnsi="Arial" w:cs="Arial"/>
          <w:sz w:val="24"/>
        </w:rPr>
        <w:t xml:space="preserve">O fármaco com o maior número de registros foi o </w:t>
      </w:r>
      <w:proofErr w:type="spellStart"/>
      <w:r w:rsidRPr="00872429">
        <w:rPr>
          <w:rFonts w:ascii="Arial" w:hAnsi="Arial" w:cs="Arial"/>
          <w:sz w:val="24"/>
        </w:rPr>
        <w:t>Aciclovir</w:t>
      </w:r>
      <w:proofErr w:type="spellEnd"/>
      <w:r w:rsidRPr="00872429">
        <w:rPr>
          <w:rFonts w:ascii="Arial" w:hAnsi="Arial" w:cs="Arial"/>
          <w:sz w:val="24"/>
        </w:rPr>
        <w:t xml:space="preserve">, com 23. Com apenas um registro tem-se: Ampicilina, Ciclofosfamida, </w:t>
      </w:r>
      <w:proofErr w:type="spellStart"/>
      <w:r w:rsidRPr="00872429">
        <w:rPr>
          <w:rFonts w:ascii="Arial" w:hAnsi="Arial" w:cs="Arial"/>
          <w:sz w:val="24"/>
        </w:rPr>
        <w:t>Ciprofloxacino</w:t>
      </w:r>
      <w:proofErr w:type="spellEnd"/>
      <w:r w:rsidRPr="00872429">
        <w:rPr>
          <w:rFonts w:ascii="Arial" w:hAnsi="Arial" w:cs="Arial"/>
          <w:sz w:val="24"/>
        </w:rPr>
        <w:t xml:space="preserve">, </w:t>
      </w:r>
      <w:proofErr w:type="spellStart"/>
      <w:r w:rsidRPr="00872429">
        <w:rPr>
          <w:rFonts w:ascii="Arial" w:hAnsi="Arial" w:cs="Arial"/>
          <w:sz w:val="24"/>
        </w:rPr>
        <w:t>Clozapina</w:t>
      </w:r>
      <w:proofErr w:type="spellEnd"/>
      <w:r w:rsidRPr="00872429">
        <w:rPr>
          <w:rFonts w:ascii="Arial" w:hAnsi="Arial" w:cs="Arial"/>
          <w:sz w:val="24"/>
        </w:rPr>
        <w:t xml:space="preserve">, </w:t>
      </w:r>
      <w:proofErr w:type="spellStart"/>
      <w:r w:rsidRPr="00872429">
        <w:rPr>
          <w:rFonts w:ascii="Arial" w:hAnsi="Arial" w:cs="Arial"/>
          <w:sz w:val="24"/>
        </w:rPr>
        <w:t>Fenitoína</w:t>
      </w:r>
      <w:proofErr w:type="spellEnd"/>
      <w:r w:rsidRPr="00872429">
        <w:rPr>
          <w:rFonts w:ascii="Arial" w:hAnsi="Arial" w:cs="Arial"/>
          <w:sz w:val="24"/>
        </w:rPr>
        <w:t xml:space="preserve"> e Rifampicina.</w:t>
      </w:r>
    </w:p>
    <w:p w:rsidR="00E30CBF" w:rsidRPr="00872429" w:rsidRDefault="00E30CBF" w:rsidP="00E30CBF">
      <w:pPr>
        <w:tabs>
          <w:tab w:val="left" w:pos="2535"/>
        </w:tabs>
        <w:spacing w:line="240" w:lineRule="auto"/>
        <w:rPr>
          <w:rFonts w:ascii="Arial" w:hAnsi="Arial" w:cs="Arial"/>
          <w:sz w:val="24"/>
        </w:rPr>
        <w:sectPr w:rsidR="00E30CBF" w:rsidRPr="00872429" w:rsidSect="00A73E6C">
          <w:type w:val="continuous"/>
          <w:pgSz w:w="11906" w:h="16838"/>
          <w:pgMar w:top="1134" w:right="1134" w:bottom="1134" w:left="1134" w:header="709" w:footer="709" w:gutter="0"/>
          <w:lnNumType w:countBy="1"/>
          <w:cols w:space="708"/>
          <w:docGrid w:linePitch="360"/>
        </w:sectPr>
      </w:pPr>
    </w:p>
    <w:p w:rsidR="00E30CBF" w:rsidRPr="00872429" w:rsidRDefault="00E30CBF" w:rsidP="00E30CBF">
      <w:pPr>
        <w:tabs>
          <w:tab w:val="left" w:pos="2535"/>
        </w:tabs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lastRenderedPageBreak/>
        <w:t xml:space="preserve">A origem dos fabricantes dos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registrados até 2012 limitou-se a 16 países, incluindo o Brasil. O Brasil dividiu com a Índia a segunda posição nessa análise, que teve a liderança da China com 17 registros. </w:t>
      </w:r>
    </w:p>
    <w:p w:rsidR="00E30CBF" w:rsidRPr="00872429" w:rsidRDefault="00451AFD" w:rsidP="00E30CBF">
      <w:pPr>
        <w:tabs>
          <w:tab w:val="left" w:pos="2535"/>
        </w:tabs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>O</w:t>
      </w:r>
      <w:r w:rsidR="00A75C6D" w:rsidRPr="00872429">
        <w:rPr>
          <w:rFonts w:ascii="Arial" w:hAnsi="Arial" w:cs="Arial"/>
          <w:sz w:val="24"/>
        </w:rPr>
        <w:t xml:space="preserve"> </w:t>
      </w:r>
      <w:r w:rsidR="00AC4343" w:rsidRPr="00872429">
        <w:rPr>
          <w:rFonts w:ascii="Arial" w:hAnsi="Arial" w:cs="Arial"/>
          <w:sz w:val="24"/>
        </w:rPr>
        <w:t>Gráfico</w:t>
      </w:r>
      <w:r w:rsidR="00A75C6D" w:rsidRPr="00872429">
        <w:rPr>
          <w:rFonts w:ascii="Arial" w:hAnsi="Arial" w:cs="Arial"/>
          <w:sz w:val="24"/>
        </w:rPr>
        <w:t xml:space="preserve"> </w:t>
      </w:r>
      <w:proofErr w:type="gramStart"/>
      <w:r w:rsidR="00C25889" w:rsidRPr="00872429">
        <w:rPr>
          <w:rFonts w:ascii="Arial" w:hAnsi="Arial" w:cs="Arial"/>
          <w:sz w:val="24"/>
        </w:rPr>
        <w:t>4</w:t>
      </w:r>
      <w:proofErr w:type="gramEnd"/>
      <w:r w:rsidR="00E30CBF" w:rsidRPr="00872429">
        <w:rPr>
          <w:rFonts w:ascii="Arial" w:hAnsi="Arial" w:cs="Arial"/>
          <w:sz w:val="24"/>
        </w:rPr>
        <w:t xml:space="preserve"> apresenta os dados de origem dos fabricantes dos </w:t>
      </w:r>
      <w:proofErr w:type="spellStart"/>
      <w:r w:rsidR="00E30CBF" w:rsidRPr="00872429">
        <w:rPr>
          <w:rFonts w:ascii="Arial" w:hAnsi="Arial" w:cs="Arial"/>
          <w:sz w:val="24"/>
        </w:rPr>
        <w:t>IFAs</w:t>
      </w:r>
      <w:proofErr w:type="spellEnd"/>
      <w:r w:rsidR="00E30CBF" w:rsidRPr="00872429">
        <w:rPr>
          <w:rFonts w:ascii="Arial" w:hAnsi="Arial" w:cs="Arial"/>
          <w:sz w:val="24"/>
        </w:rPr>
        <w:t xml:space="preserve"> registrados. Ele consolida as informações por bloco econômico, de maneira a acompanhar as análises anterio</w:t>
      </w:r>
      <w:r w:rsidR="005C2DF1" w:rsidRPr="00872429">
        <w:rPr>
          <w:rFonts w:ascii="Arial" w:hAnsi="Arial" w:cs="Arial"/>
          <w:sz w:val="24"/>
        </w:rPr>
        <w:t>res e permitir comparações. Ness</w:t>
      </w:r>
      <w:r w:rsidR="00E30CBF" w:rsidRPr="00872429">
        <w:rPr>
          <w:rFonts w:ascii="Arial" w:hAnsi="Arial" w:cs="Arial"/>
          <w:sz w:val="24"/>
        </w:rPr>
        <w:t>e caso, a União Europeia desponta como bloco de maior número de registros obtidos.</w:t>
      </w:r>
    </w:p>
    <w:p w:rsidR="00E30CBF" w:rsidRPr="007A5981" w:rsidRDefault="00E30CBF" w:rsidP="00E30CBF">
      <w:pPr>
        <w:tabs>
          <w:tab w:val="left" w:pos="2535"/>
        </w:tabs>
        <w:rPr>
          <w:rFonts w:ascii="Arial" w:hAnsi="Arial" w:cs="Arial"/>
          <w:sz w:val="22"/>
        </w:rPr>
        <w:sectPr w:rsidR="00E30CBF" w:rsidRPr="007A5981" w:rsidSect="00A73E6C">
          <w:type w:val="continuous"/>
          <w:pgSz w:w="11906" w:h="16838"/>
          <w:pgMar w:top="1134" w:right="1134" w:bottom="1134" w:left="1134" w:header="709" w:footer="709" w:gutter="0"/>
          <w:lnNumType w:countBy="1"/>
          <w:cols w:space="708"/>
          <w:docGrid w:linePitch="360"/>
        </w:sectPr>
      </w:pPr>
    </w:p>
    <w:p w:rsidR="00C25889" w:rsidRPr="007A5981" w:rsidRDefault="00C25889" w:rsidP="00E30CBF">
      <w:pPr>
        <w:tabs>
          <w:tab w:val="left" w:pos="2160"/>
        </w:tabs>
        <w:rPr>
          <w:rFonts w:ascii="Arial" w:hAnsi="Arial" w:cs="Arial"/>
          <w:sz w:val="22"/>
        </w:rPr>
      </w:pPr>
    </w:p>
    <w:p w:rsidR="00A41715" w:rsidRPr="007A5981" w:rsidRDefault="00A41715" w:rsidP="00E30CBF">
      <w:pPr>
        <w:tabs>
          <w:tab w:val="left" w:pos="2160"/>
        </w:tabs>
        <w:rPr>
          <w:rFonts w:ascii="Arial" w:hAnsi="Arial" w:cs="Arial"/>
          <w:sz w:val="22"/>
        </w:rPr>
        <w:sectPr w:rsidR="00A41715" w:rsidRPr="007A5981" w:rsidSect="00D31E48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66724F" w:rsidRPr="00E30CBF" w:rsidRDefault="0066724F" w:rsidP="0066724F">
      <w:pPr>
        <w:tabs>
          <w:tab w:val="left" w:pos="2160"/>
        </w:tabs>
        <w:jc w:val="center"/>
        <w:rPr>
          <w:sz w:val="22"/>
        </w:rPr>
      </w:pPr>
      <w:r w:rsidRPr="00E77526">
        <w:rPr>
          <w:noProof/>
          <w:sz w:val="22"/>
          <w:lang w:eastAsia="pt-BR"/>
        </w:rPr>
        <w:lastRenderedPageBreak/>
        <w:drawing>
          <wp:inline distT="0" distB="0" distL="0" distR="0">
            <wp:extent cx="3905250" cy="2800350"/>
            <wp:effectExtent l="0" t="0" r="0" b="0"/>
            <wp:docPr id="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6724F" w:rsidRPr="0066724F" w:rsidRDefault="0066724F" w:rsidP="0066724F">
      <w:pPr>
        <w:tabs>
          <w:tab w:val="left" w:pos="2160"/>
        </w:tabs>
        <w:rPr>
          <w:rFonts w:ascii="Arial" w:hAnsi="Arial" w:cs="Arial"/>
          <w:sz w:val="22"/>
        </w:rPr>
      </w:pPr>
      <w:r w:rsidRPr="0066724F">
        <w:rPr>
          <w:rFonts w:ascii="Arial" w:hAnsi="Arial" w:cs="Arial"/>
          <w:sz w:val="22"/>
        </w:rPr>
        <w:t xml:space="preserve">Gráfico 4 - Distribuição da origem dos </w:t>
      </w:r>
      <w:proofErr w:type="spellStart"/>
      <w:r w:rsidRPr="0066724F">
        <w:rPr>
          <w:rFonts w:ascii="Arial" w:hAnsi="Arial" w:cs="Arial"/>
          <w:sz w:val="22"/>
        </w:rPr>
        <w:t>IFAs</w:t>
      </w:r>
      <w:proofErr w:type="spellEnd"/>
      <w:r w:rsidRPr="0066724F">
        <w:rPr>
          <w:rFonts w:ascii="Arial" w:hAnsi="Arial" w:cs="Arial"/>
          <w:sz w:val="22"/>
        </w:rPr>
        <w:t xml:space="preserve"> registrados no Brasil por bloco econômico – 2012</w:t>
      </w:r>
    </w:p>
    <w:p w:rsidR="0066724F" w:rsidRPr="0066724F" w:rsidRDefault="0066724F" w:rsidP="0066724F">
      <w:pPr>
        <w:tabs>
          <w:tab w:val="left" w:pos="2535"/>
        </w:tabs>
        <w:rPr>
          <w:rFonts w:ascii="Arial" w:hAnsi="Arial" w:cs="Arial"/>
          <w:sz w:val="18"/>
        </w:rPr>
      </w:pPr>
      <w:r w:rsidRPr="0066724F">
        <w:rPr>
          <w:rFonts w:ascii="Arial" w:hAnsi="Arial" w:cs="Arial"/>
          <w:sz w:val="18"/>
        </w:rPr>
        <w:t>Elaboração própria. Fonte ANVISA, 2012</w:t>
      </w:r>
    </w:p>
    <w:p w:rsidR="00F55AF1" w:rsidRPr="007A5981" w:rsidRDefault="00F55AF1" w:rsidP="00F55AF1">
      <w:pPr>
        <w:tabs>
          <w:tab w:val="left" w:pos="2160"/>
        </w:tabs>
        <w:jc w:val="center"/>
        <w:rPr>
          <w:rFonts w:ascii="Arial" w:hAnsi="Arial" w:cs="Arial"/>
          <w:sz w:val="22"/>
        </w:rPr>
      </w:pPr>
    </w:p>
    <w:p w:rsidR="00E30CBF" w:rsidRPr="007A5981" w:rsidRDefault="00E30CBF" w:rsidP="00E30CBF">
      <w:pPr>
        <w:spacing w:line="240" w:lineRule="auto"/>
        <w:rPr>
          <w:rFonts w:ascii="Arial" w:hAnsi="Arial" w:cs="Arial"/>
          <w:sz w:val="22"/>
        </w:rPr>
      </w:pPr>
    </w:p>
    <w:p w:rsidR="00E30CBF" w:rsidRPr="007A5981" w:rsidRDefault="00E30CBF" w:rsidP="00E30CBF">
      <w:pPr>
        <w:tabs>
          <w:tab w:val="left" w:pos="1785"/>
        </w:tabs>
        <w:rPr>
          <w:rFonts w:ascii="Arial" w:hAnsi="Arial" w:cs="Arial"/>
          <w:sz w:val="22"/>
        </w:rPr>
        <w:sectPr w:rsidR="00E30CBF" w:rsidRPr="007A5981" w:rsidSect="00D31E48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C686C" w:rsidRDefault="00C25889" w:rsidP="003C686C">
      <w:pPr>
        <w:tabs>
          <w:tab w:val="left" w:pos="1785"/>
        </w:tabs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lastRenderedPageBreak/>
        <w:t>Para a confecção d</w:t>
      </w:r>
      <w:r w:rsidR="0066724F" w:rsidRPr="00872429">
        <w:rPr>
          <w:rFonts w:ascii="Arial" w:hAnsi="Arial" w:cs="Arial"/>
          <w:sz w:val="24"/>
        </w:rPr>
        <w:t xml:space="preserve">a Tabela </w:t>
      </w:r>
      <w:r w:rsidR="00451AFD" w:rsidRPr="00872429">
        <w:rPr>
          <w:rFonts w:ascii="Arial" w:hAnsi="Arial" w:cs="Arial"/>
          <w:sz w:val="24"/>
        </w:rPr>
        <w:t>2, a seguir,</w:t>
      </w:r>
      <w:r w:rsidRPr="00872429">
        <w:rPr>
          <w:rFonts w:ascii="Arial" w:hAnsi="Arial" w:cs="Arial"/>
          <w:sz w:val="24"/>
        </w:rPr>
        <w:t xml:space="preserve"> o</w:t>
      </w:r>
      <w:r w:rsidR="00E30CBF" w:rsidRPr="00872429">
        <w:rPr>
          <w:rFonts w:ascii="Arial" w:hAnsi="Arial" w:cs="Arial"/>
          <w:sz w:val="24"/>
        </w:rPr>
        <w:t xml:space="preserve"> Brasil foi </w:t>
      </w:r>
      <w:r w:rsidRPr="00872429">
        <w:rPr>
          <w:rFonts w:ascii="Arial" w:hAnsi="Arial" w:cs="Arial"/>
          <w:sz w:val="24"/>
        </w:rPr>
        <w:t>excluído</w:t>
      </w:r>
      <w:r w:rsidR="00E30CBF" w:rsidRPr="00872429">
        <w:rPr>
          <w:rFonts w:ascii="Arial" w:hAnsi="Arial" w:cs="Arial"/>
          <w:sz w:val="24"/>
        </w:rPr>
        <w:t xml:space="preserve"> da contabilização </w:t>
      </w:r>
      <w:r w:rsidRPr="00872429">
        <w:rPr>
          <w:rFonts w:ascii="Arial" w:hAnsi="Arial" w:cs="Arial"/>
          <w:sz w:val="24"/>
        </w:rPr>
        <w:t xml:space="preserve">dos registros obtidos </w:t>
      </w:r>
      <w:r w:rsidR="00E30CBF" w:rsidRPr="00872429">
        <w:rPr>
          <w:rFonts w:ascii="Arial" w:hAnsi="Arial" w:cs="Arial"/>
          <w:sz w:val="24"/>
        </w:rPr>
        <w:t xml:space="preserve">de forma a poder comparar o desempenho dos países/blocos - fornecedores externos - antes da obrigatoriedade do registro </w:t>
      </w:r>
      <w:r w:rsidR="00564FFD" w:rsidRPr="00872429">
        <w:rPr>
          <w:rFonts w:ascii="Arial" w:hAnsi="Arial" w:cs="Arial"/>
          <w:sz w:val="24"/>
        </w:rPr>
        <w:t>(</w:t>
      </w:r>
      <w:r w:rsidR="00AC4343" w:rsidRPr="00872429">
        <w:rPr>
          <w:rFonts w:ascii="Arial" w:hAnsi="Arial" w:cs="Arial"/>
          <w:sz w:val="24"/>
        </w:rPr>
        <w:t>Gráfico</w:t>
      </w:r>
      <w:r w:rsidR="00564FFD" w:rsidRPr="00872429">
        <w:rPr>
          <w:rFonts w:ascii="Arial" w:hAnsi="Arial" w:cs="Arial"/>
          <w:sz w:val="24"/>
        </w:rPr>
        <w:t xml:space="preserve"> </w:t>
      </w:r>
      <w:proofErr w:type="gramStart"/>
      <w:r w:rsidR="00564FFD" w:rsidRPr="00872429">
        <w:rPr>
          <w:rFonts w:ascii="Arial" w:hAnsi="Arial" w:cs="Arial"/>
          <w:sz w:val="24"/>
        </w:rPr>
        <w:t>3</w:t>
      </w:r>
      <w:proofErr w:type="gramEnd"/>
      <w:r w:rsidR="00564FFD" w:rsidRPr="00872429">
        <w:rPr>
          <w:rFonts w:ascii="Arial" w:hAnsi="Arial" w:cs="Arial"/>
          <w:sz w:val="24"/>
        </w:rPr>
        <w:t xml:space="preserve">) </w:t>
      </w:r>
      <w:r w:rsidR="00E30CBF" w:rsidRPr="00872429">
        <w:rPr>
          <w:rFonts w:ascii="Arial" w:hAnsi="Arial" w:cs="Arial"/>
          <w:sz w:val="24"/>
        </w:rPr>
        <w:t>com os resultados após o período de registro</w:t>
      </w:r>
      <w:r w:rsidR="00564FFD" w:rsidRPr="00872429">
        <w:rPr>
          <w:rFonts w:ascii="Arial" w:hAnsi="Arial" w:cs="Arial"/>
          <w:sz w:val="24"/>
        </w:rPr>
        <w:t xml:space="preserve"> (</w:t>
      </w:r>
      <w:r w:rsidR="00AC4343" w:rsidRPr="00872429">
        <w:rPr>
          <w:rFonts w:ascii="Arial" w:hAnsi="Arial" w:cs="Arial"/>
          <w:sz w:val="24"/>
        </w:rPr>
        <w:t>Gráfico</w:t>
      </w:r>
      <w:r w:rsidR="00564FFD" w:rsidRPr="00872429">
        <w:rPr>
          <w:rFonts w:ascii="Arial" w:hAnsi="Arial" w:cs="Arial"/>
          <w:sz w:val="24"/>
        </w:rPr>
        <w:t xml:space="preserve"> 4)</w:t>
      </w:r>
      <w:r w:rsidR="00E30CBF" w:rsidRPr="00872429">
        <w:rPr>
          <w:rFonts w:ascii="Arial" w:hAnsi="Arial" w:cs="Arial"/>
          <w:sz w:val="24"/>
        </w:rPr>
        <w:t>. Comprovou-se, por essa análise, uma queda na participa</w:t>
      </w:r>
      <w:r w:rsidRPr="00872429">
        <w:rPr>
          <w:rFonts w:ascii="Arial" w:hAnsi="Arial" w:cs="Arial"/>
          <w:sz w:val="24"/>
        </w:rPr>
        <w:t>ção de China e Índia</w:t>
      </w:r>
      <w:r w:rsidR="00E30CBF" w:rsidRPr="00872429">
        <w:rPr>
          <w:rFonts w:ascii="Arial" w:hAnsi="Arial" w:cs="Arial"/>
          <w:sz w:val="24"/>
        </w:rPr>
        <w:t>.</w:t>
      </w:r>
    </w:p>
    <w:p w:rsidR="003C686C" w:rsidRPr="00872429" w:rsidRDefault="003C686C" w:rsidP="003C686C">
      <w:pPr>
        <w:tabs>
          <w:tab w:val="left" w:pos="1785"/>
        </w:tabs>
        <w:rPr>
          <w:rFonts w:ascii="Arial" w:hAnsi="Arial" w:cs="Arial"/>
          <w:sz w:val="24"/>
        </w:rPr>
        <w:sectPr w:rsidR="003C686C" w:rsidRPr="00872429" w:rsidSect="00A73E6C">
          <w:type w:val="continuous"/>
          <w:pgSz w:w="11906" w:h="16838"/>
          <w:pgMar w:top="1134" w:right="1134" w:bottom="1134" w:left="1134" w:header="709" w:footer="709" w:gutter="0"/>
          <w:lnNumType w:countBy="1"/>
          <w:cols w:space="708"/>
          <w:docGrid w:linePitch="360"/>
        </w:sectPr>
      </w:pPr>
    </w:p>
    <w:p w:rsidR="00BE3213" w:rsidRPr="00872429" w:rsidRDefault="00BE3213" w:rsidP="003C686C">
      <w:pPr>
        <w:tabs>
          <w:tab w:val="left" w:pos="1785"/>
        </w:tabs>
        <w:ind w:firstLine="0"/>
        <w:rPr>
          <w:rFonts w:ascii="Arial" w:hAnsi="Arial" w:cs="Arial"/>
          <w:sz w:val="24"/>
        </w:rPr>
      </w:pPr>
    </w:p>
    <w:p w:rsidR="0066724F" w:rsidRPr="0066724F" w:rsidRDefault="0066724F" w:rsidP="003C686C">
      <w:pPr>
        <w:ind w:firstLine="0"/>
        <w:jc w:val="center"/>
        <w:rPr>
          <w:rFonts w:ascii="Arial" w:hAnsi="Arial" w:cs="Arial"/>
          <w:sz w:val="22"/>
        </w:rPr>
      </w:pPr>
      <w:r w:rsidRPr="0066724F">
        <w:rPr>
          <w:rFonts w:ascii="Arial" w:hAnsi="Arial" w:cs="Arial"/>
          <w:sz w:val="22"/>
        </w:rPr>
        <w:t xml:space="preserve">Tabela 2 - Participação dos países/blocos fornecedores de </w:t>
      </w:r>
      <w:proofErr w:type="spellStart"/>
      <w:r w:rsidRPr="0066724F">
        <w:rPr>
          <w:rFonts w:ascii="Arial" w:hAnsi="Arial" w:cs="Arial"/>
          <w:sz w:val="22"/>
        </w:rPr>
        <w:t>IFAs</w:t>
      </w:r>
      <w:proofErr w:type="spellEnd"/>
      <w:r w:rsidRPr="0066724F">
        <w:rPr>
          <w:rFonts w:ascii="Arial" w:hAnsi="Arial" w:cs="Arial"/>
          <w:sz w:val="22"/>
        </w:rPr>
        <w:t xml:space="preserve"> antes do registro e pós-registro</w:t>
      </w:r>
    </w:p>
    <w:tbl>
      <w:tblPr>
        <w:tblpPr w:leftFromText="141" w:rightFromText="141" w:vertAnchor="text" w:horzAnchor="page" w:tblpXSpec="center" w:tblpY="134"/>
        <w:tblOverlap w:val="never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2450"/>
        <w:gridCol w:w="2693"/>
      </w:tblGrid>
      <w:tr w:rsidR="0066724F" w:rsidRPr="00E30CBF" w:rsidTr="008B670B">
        <w:trPr>
          <w:trHeight w:val="806"/>
        </w:trPr>
        <w:tc>
          <w:tcPr>
            <w:tcW w:w="1486" w:type="dxa"/>
            <w:shd w:val="clear" w:color="auto" w:fill="A6A6A6" w:themeFill="background1" w:themeFillShade="A6"/>
          </w:tcPr>
          <w:p w:rsidR="0066724F" w:rsidRPr="0066724F" w:rsidRDefault="0066724F" w:rsidP="007E08A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  <w:p w:rsidR="0066724F" w:rsidRPr="0066724F" w:rsidRDefault="0066724F" w:rsidP="007E08A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66724F">
              <w:rPr>
                <w:rFonts w:ascii="Arial" w:eastAsia="Times New Roman" w:hAnsi="Arial" w:cs="Arial"/>
                <w:b/>
                <w:bCs/>
                <w:color w:val="FFFFFF"/>
              </w:rPr>
              <w:t>PAÍS/BLOCO</w:t>
            </w:r>
          </w:p>
        </w:tc>
        <w:tc>
          <w:tcPr>
            <w:tcW w:w="2450" w:type="dxa"/>
            <w:shd w:val="clear" w:color="auto" w:fill="A6A6A6" w:themeFill="background1" w:themeFillShade="A6"/>
            <w:vAlign w:val="center"/>
          </w:tcPr>
          <w:p w:rsidR="0066724F" w:rsidRPr="0066724F" w:rsidRDefault="0066724F" w:rsidP="007E08A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66724F">
              <w:rPr>
                <w:rFonts w:ascii="Arial" w:eastAsia="Times New Roman" w:hAnsi="Arial" w:cs="Arial"/>
                <w:b/>
                <w:bCs/>
                <w:color w:val="FFFFFF"/>
              </w:rPr>
              <w:t>DISTRIBUIÇÃO ANTES</w:t>
            </w:r>
          </w:p>
          <w:p w:rsidR="0066724F" w:rsidRPr="0066724F" w:rsidRDefault="0066724F" w:rsidP="007E08A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66724F">
              <w:rPr>
                <w:rFonts w:ascii="Arial" w:eastAsia="Times New Roman" w:hAnsi="Arial" w:cs="Arial"/>
                <w:b/>
                <w:bCs/>
                <w:color w:val="FFFFFF"/>
              </w:rPr>
              <w:t>DO REGISTRO (%)</w:t>
            </w: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:rsidR="0066724F" w:rsidRPr="0066724F" w:rsidRDefault="0066724F" w:rsidP="007E08A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66724F">
              <w:rPr>
                <w:rFonts w:ascii="Arial" w:eastAsia="Times New Roman" w:hAnsi="Arial" w:cs="Arial"/>
                <w:b/>
                <w:bCs/>
                <w:color w:val="FFFFFF"/>
              </w:rPr>
              <w:t>DISTRIBUIÇÃO APÓS</w:t>
            </w:r>
          </w:p>
          <w:p w:rsidR="0066724F" w:rsidRPr="0066724F" w:rsidRDefault="0066724F" w:rsidP="007E08A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66724F">
              <w:rPr>
                <w:rFonts w:ascii="Arial" w:eastAsia="Times New Roman" w:hAnsi="Arial" w:cs="Arial"/>
                <w:b/>
                <w:bCs/>
                <w:color w:val="FFFFFF"/>
              </w:rPr>
              <w:t>O REGISTRO (%)</w:t>
            </w:r>
          </w:p>
        </w:tc>
      </w:tr>
      <w:tr w:rsidR="0066724F" w:rsidRPr="00E30CBF" w:rsidTr="00BD3081">
        <w:tc>
          <w:tcPr>
            <w:tcW w:w="1486" w:type="dxa"/>
            <w:shd w:val="clear" w:color="auto" w:fill="D9D9D9"/>
            <w:vAlign w:val="center"/>
          </w:tcPr>
          <w:p w:rsidR="0066724F" w:rsidRPr="0066724F" w:rsidRDefault="0066724F" w:rsidP="007E08A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724F">
              <w:rPr>
                <w:rFonts w:ascii="Arial" w:eastAsia="Times New Roman" w:hAnsi="Arial" w:cs="Arial"/>
                <w:b/>
                <w:bCs/>
              </w:rPr>
              <w:t>China</w:t>
            </w:r>
          </w:p>
        </w:tc>
        <w:tc>
          <w:tcPr>
            <w:tcW w:w="2450" w:type="dxa"/>
            <w:shd w:val="clear" w:color="auto" w:fill="D9D9D9"/>
            <w:vAlign w:val="center"/>
          </w:tcPr>
          <w:p w:rsidR="0066724F" w:rsidRPr="0066724F" w:rsidRDefault="0066724F" w:rsidP="007E08A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6724F">
              <w:rPr>
                <w:rFonts w:ascii="Arial" w:eastAsia="Times New Roman" w:hAnsi="Arial" w:cs="Arial"/>
                <w:b/>
              </w:rPr>
              <w:t>48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66724F" w:rsidRPr="0066724F" w:rsidRDefault="0066724F" w:rsidP="007E08A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724F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</w:tr>
      <w:tr w:rsidR="0066724F" w:rsidRPr="00E30CBF" w:rsidTr="00BD3081">
        <w:tc>
          <w:tcPr>
            <w:tcW w:w="1486" w:type="dxa"/>
            <w:shd w:val="clear" w:color="auto" w:fill="D9D9D9"/>
            <w:vAlign w:val="center"/>
          </w:tcPr>
          <w:p w:rsidR="0066724F" w:rsidRPr="0066724F" w:rsidRDefault="0066724F" w:rsidP="007E08A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66724F">
              <w:rPr>
                <w:rFonts w:ascii="Arial" w:eastAsia="Times New Roman" w:hAnsi="Arial" w:cs="Arial"/>
                <w:b/>
                <w:bCs/>
              </w:rPr>
              <w:t>Índia</w:t>
            </w:r>
          </w:p>
        </w:tc>
        <w:tc>
          <w:tcPr>
            <w:tcW w:w="2450" w:type="dxa"/>
            <w:shd w:val="clear" w:color="auto" w:fill="D9D9D9"/>
            <w:vAlign w:val="center"/>
          </w:tcPr>
          <w:p w:rsidR="0066724F" w:rsidRPr="0066724F" w:rsidRDefault="0066724F" w:rsidP="007E08A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6724F">
              <w:rPr>
                <w:rFonts w:ascii="Arial" w:eastAsia="Times New Roman" w:hAnsi="Arial" w:cs="Arial"/>
                <w:b/>
              </w:rPr>
              <w:t>30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66724F" w:rsidRPr="0066724F" w:rsidRDefault="0066724F" w:rsidP="007E08A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724F">
              <w:rPr>
                <w:rFonts w:ascii="Arial" w:eastAsia="Times New Roman" w:hAnsi="Arial" w:cs="Arial"/>
                <w:b/>
                <w:bCs/>
              </w:rPr>
              <w:t>24</w:t>
            </w:r>
          </w:p>
        </w:tc>
      </w:tr>
      <w:tr w:rsidR="0066724F" w:rsidRPr="00E30CBF" w:rsidTr="00BD3081">
        <w:tc>
          <w:tcPr>
            <w:tcW w:w="1486" w:type="dxa"/>
            <w:shd w:val="clear" w:color="auto" w:fill="D9D9D9"/>
            <w:vAlign w:val="center"/>
          </w:tcPr>
          <w:p w:rsidR="0066724F" w:rsidRPr="0066724F" w:rsidRDefault="0066724F" w:rsidP="007E08A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724F">
              <w:rPr>
                <w:rFonts w:ascii="Arial" w:eastAsia="Times New Roman" w:hAnsi="Arial" w:cs="Arial"/>
                <w:b/>
                <w:bCs/>
              </w:rPr>
              <w:t>EUA</w:t>
            </w:r>
          </w:p>
        </w:tc>
        <w:tc>
          <w:tcPr>
            <w:tcW w:w="2450" w:type="dxa"/>
            <w:shd w:val="clear" w:color="auto" w:fill="D9D9D9"/>
            <w:vAlign w:val="center"/>
          </w:tcPr>
          <w:p w:rsidR="0066724F" w:rsidRPr="0066724F" w:rsidRDefault="0066724F" w:rsidP="007E08A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gramStart"/>
            <w:r w:rsidRPr="0066724F">
              <w:rPr>
                <w:rFonts w:ascii="Arial" w:eastAsia="Times New Roman" w:hAnsi="Arial" w:cs="Arial"/>
                <w:b/>
              </w:rPr>
              <w:t>2</w:t>
            </w:r>
            <w:proofErr w:type="gramEnd"/>
          </w:p>
        </w:tc>
        <w:tc>
          <w:tcPr>
            <w:tcW w:w="2693" w:type="dxa"/>
            <w:shd w:val="clear" w:color="auto" w:fill="D9D9D9"/>
            <w:vAlign w:val="center"/>
          </w:tcPr>
          <w:p w:rsidR="0066724F" w:rsidRPr="0066724F" w:rsidRDefault="0066724F" w:rsidP="007E08A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gramStart"/>
            <w:r w:rsidRPr="0066724F">
              <w:rPr>
                <w:rFonts w:ascii="Arial" w:eastAsia="Times New Roman" w:hAnsi="Arial" w:cs="Arial"/>
                <w:b/>
                <w:bCs/>
              </w:rPr>
              <w:t>1</w:t>
            </w:r>
            <w:proofErr w:type="gramEnd"/>
          </w:p>
        </w:tc>
      </w:tr>
      <w:tr w:rsidR="0066724F" w:rsidRPr="00E30CBF" w:rsidTr="00BD3081">
        <w:tc>
          <w:tcPr>
            <w:tcW w:w="1486" w:type="dxa"/>
            <w:shd w:val="clear" w:color="auto" w:fill="D9D9D9"/>
            <w:vAlign w:val="center"/>
          </w:tcPr>
          <w:p w:rsidR="0066724F" w:rsidRPr="0066724F" w:rsidRDefault="0066724F" w:rsidP="007E08A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724F">
              <w:rPr>
                <w:rFonts w:ascii="Arial" w:eastAsia="Times New Roman" w:hAnsi="Arial" w:cs="Arial"/>
                <w:b/>
                <w:bCs/>
              </w:rPr>
              <w:t>UE</w:t>
            </w:r>
          </w:p>
        </w:tc>
        <w:tc>
          <w:tcPr>
            <w:tcW w:w="2450" w:type="dxa"/>
            <w:shd w:val="clear" w:color="auto" w:fill="D9D9D9"/>
            <w:vAlign w:val="center"/>
          </w:tcPr>
          <w:p w:rsidR="0066724F" w:rsidRPr="0066724F" w:rsidRDefault="0066724F" w:rsidP="007E08A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6724F">
              <w:rPr>
                <w:rFonts w:ascii="Arial" w:eastAsia="Times New Roman" w:hAnsi="Arial" w:cs="Arial"/>
                <w:b/>
              </w:rPr>
              <w:t>17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66724F" w:rsidRPr="0066724F" w:rsidRDefault="0066724F" w:rsidP="007E08A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724F">
              <w:rPr>
                <w:rFonts w:ascii="Arial" w:eastAsia="Times New Roman" w:hAnsi="Arial" w:cs="Arial"/>
                <w:b/>
                <w:bCs/>
              </w:rPr>
              <w:t>38</w:t>
            </w:r>
          </w:p>
        </w:tc>
      </w:tr>
      <w:tr w:rsidR="0066724F" w:rsidRPr="00E30CBF" w:rsidTr="00BD3081">
        <w:tc>
          <w:tcPr>
            <w:tcW w:w="1486" w:type="dxa"/>
            <w:shd w:val="clear" w:color="auto" w:fill="D9D9D9"/>
            <w:vAlign w:val="center"/>
          </w:tcPr>
          <w:p w:rsidR="0066724F" w:rsidRPr="0066724F" w:rsidRDefault="0066724F" w:rsidP="007E08A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6724F">
              <w:rPr>
                <w:rFonts w:ascii="Arial" w:eastAsia="Times New Roman" w:hAnsi="Arial" w:cs="Arial"/>
                <w:b/>
                <w:bCs/>
              </w:rPr>
              <w:t>Outros</w:t>
            </w:r>
          </w:p>
        </w:tc>
        <w:tc>
          <w:tcPr>
            <w:tcW w:w="2450" w:type="dxa"/>
            <w:shd w:val="clear" w:color="auto" w:fill="D9D9D9"/>
            <w:vAlign w:val="center"/>
          </w:tcPr>
          <w:p w:rsidR="0066724F" w:rsidRPr="0066724F" w:rsidRDefault="0066724F" w:rsidP="007E08AA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</w:rPr>
            </w:pPr>
            <w:proofErr w:type="gramStart"/>
            <w:r w:rsidRPr="0066724F">
              <w:rPr>
                <w:rFonts w:ascii="Arial" w:eastAsia="Times New Roman" w:hAnsi="Arial" w:cs="Arial"/>
                <w:bCs/>
              </w:rPr>
              <w:t>3</w:t>
            </w:r>
            <w:proofErr w:type="gramEnd"/>
          </w:p>
        </w:tc>
        <w:tc>
          <w:tcPr>
            <w:tcW w:w="2693" w:type="dxa"/>
            <w:shd w:val="clear" w:color="auto" w:fill="D9D9D9"/>
            <w:vAlign w:val="center"/>
          </w:tcPr>
          <w:p w:rsidR="0066724F" w:rsidRPr="0066724F" w:rsidRDefault="0066724F" w:rsidP="007E08AA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6724F">
              <w:rPr>
                <w:rFonts w:ascii="Arial" w:eastAsia="Times New Roman" w:hAnsi="Arial" w:cs="Arial"/>
                <w:bCs/>
              </w:rPr>
              <w:t>11</w:t>
            </w:r>
          </w:p>
        </w:tc>
      </w:tr>
    </w:tbl>
    <w:p w:rsidR="0066724F" w:rsidRPr="00E30CBF" w:rsidRDefault="0066724F" w:rsidP="0066724F">
      <w:pPr>
        <w:tabs>
          <w:tab w:val="left" w:pos="1785"/>
        </w:tabs>
        <w:rPr>
          <w:sz w:val="22"/>
        </w:rPr>
      </w:pPr>
    </w:p>
    <w:p w:rsidR="0066724F" w:rsidRPr="00E30CBF" w:rsidRDefault="0066724F" w:rsidP="0066724F">
      <w:pPr>
        <w:tabs>
          <w:tab w:val="left" w:pos="1785"/>
        </w:tabs>
        <w:rPr>
          <w:sz w:val="22"/>
        </w:rPr>
      </w:pPr>
      <w:r w:rsidRPr="00E30CBF">
        <w:rPr>
          <w:sz w:val="22"/>
        </w:rPr>
        <w:t xml:space="preserve">  </w:t>
      </w:r>
    </w:p>
    <w:p w:rsidR="0066724F" w:rsidRPr="00E30CBF" w:rsidRDefault="0066724F" w:rsidP="0066724F">
      <w:pPr>
        <w:tabs>
          <w:tab w:val="left" w:pos="1785"/>
        </w:tabs>
        <w:spacing w:line="240" w:lineRule="auto"/>
        <w:rPr>
          <w:sz w:val="22"/>
        </w:rPr>
      </w:pPr>
      <w:r w:rsidRPr="00E30CBF">
        <w:rPr>
          <w:sz w:val="22"/>
        </w:rPr>
        <w:t xml:space="preserve">                    </w:t>
      </w:r>
    </w:p>
    <w:p w:rsidR="0066724F" w:rsidRDefault="0066724F" w:rsidP="0066724F">
      <w:pPr>
        <w:tabs>
          <w:tab w:val="left" w:pos="1785"/>
        </w:tabs>
        <w:spacing w:line="240" w:lineRule="auto"/>
        <w:rPr>
          <w:sz w:val="22"/>
        </w:rPr>
      </w:pPr>
      <w:r w:rsidRPr="00E30CBF">
        <w:rPr>
          <w:sz w:val="22"/>
        </w:rPr>
        <w:t xml:space="preserve">                   </w:t>
      </w:r>
    </w:p>
    <w:p w:rsidR="0066724F" w:rsidRDefault="0066724F" w:rsidP="0066724F">
      <w:pPr>
        <w:tabs>
          <w:tab w:val="left" w:pos="1785"/>
        </w:tabs>
        <w:spacing w:line="240" w:lineRule="auto"/>
        <w:rPr>
          <w:sz w:val="22"/>
        </w:rPr>
      </w:pPr>
    </w:p>
    <w:p w:rsidR="0066724F" w:rsidRDefault="0066724F" w:rsidP="0066724F">
      <w:pPr>
        <w:tabs>
          <w:tab w:val="left" w:pos="1785"/>
        </w:tabs>
        <w:spacing w:line="240" w:lineRule="auto"/>
        <w:rPr>
          <w:sz w:val="22"/>
        </w:rPr>
      </w:pPr>
    </w:p>
    <w:p w:rsidR="0066724F" w:rsidRDefault="0066724F" w:rsidP="0066724F">
      <w:pPr>
        <w:tabs>
          <w:tab w:val="left" w:pos="1785"/>
        </w:tabs>
        <w:spacing w:line="240" w:lineRule="auto"/>
        <w:rPr>
          <w:sz w:val="22"/>
        </w:rPr>
      </w:pPr>
    </w:p>
    <w:p w:rsidR="0066724F" w:rsidRDefault="0066724F" w:rsidP="0066724F">
      <w:pPr>
        <w:tabs>
          <w:tab w:val="left" w:pos="1785"/>
        </w:tabs>
        <w:spacing w:line="240" w:lineRule="auto"/>
        <w:rPr>
          <w:sz w:val="22"/>
        </w:rPr>
      </w:pPr>
    </w:p>
    <w:p w:rsidR="0066724F" w:rsidRPr="0066724F" w:rsidRDefault="0066724F" w:rsidP="00BD3081">
      <w:pPr>
        <w:tabs>
          <w:tab w:val="left" w:pos="1785"/>
        </w:tabs>
        <w:rPr>
          <w:rFonts w:ascii="Arial" w:hAnsi="Arial" w:cs="Arial"/>
          <w:sz w:val="22"/>
        </w:rPr>
      </w:pPr>
      <w:r>
        <w:rPr>
          <w:sz w:val="22"/>
        </w:rPr>
        <w:tab/>
      </w:r>
      <w:r w:rsidRPr="0066724F">
        <w:rPr>
          <w:rFonts w:ascii="Arial" w:hAnsi="Arial" w:cs="Arial"/>
          <w:sz w:val="18"/>
        </w:rPr>
        <w:t>Fonte: Elaboração própria</w:t>
      </w:r>
    </w:p>
    <w:p w:rsidR="00E30CBF" w:rsidRPr="007A5981" w:rsidRDefault="00E30CBF" w:rsidP="00F55AF1">
      <w:pPr>
        <w:spacing w:line="240" w:lineRule="auto"/>
        <w:ind w:firstLine="0"/>
        <w:jc w:val="center"/>
        <w:rPr>
          <w:rFonts w:ascii="Arial" w:hAnsi="Arial" w:cs="Arial"/>
          <w:sz w:val="22"/>
        </w:rPr>
      </w:pPr>
    </w:p>
    <w:p w:rsidR="009A33AC" w:rsidRPr="007A5981" w:rsidRDefault="009A33AC" w:rsidP="009A33AC">
      <w:pPr>
        <w:tabs>
          <w:tab w:val="left" w:pos="1785"/>
        </w:tabs>
        <w:spacing w:line="240" w:lineRule="auto"/>
        <w:rPr>
          <w:rFonts w:ascii="Arial" w:hAnsi="Arial" w:cs="Arial"/>
          <w:sz w:val="22"/>
        </w:rPr>
      </w:pPr>
    </w:p>
    <w:p w:rsidR="00E30CBF" w:rsidRPr="00872429" w:rsidRDefault="00E30CBF" w:rsidP="00E30CBF">
      <w:pPr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 xml:space="preserve">A mesma tendência de comportamento da distribuição de origem quanto às empresas certificadas verificou-se na análise </w:t>
      </w:r>
      <w:r w:rsidR="00ED6297" w:rsidRPr="00872429">
        <w:rPr>
          <w:rFonts w:ascii="Arial" w:hAnsi="Arial" w:cs="Arial"/>
          <w:sz w:val="24"/>
        </w:rPr>
        <w:t>d</w:t>
      </w:r>
      <w:r w:rsidRPr="00872429">
        <w:rPr>
          <w:rFonts w:ascii="Arial" w:hAnsi="Arial" w:cs="Arial"/>
          <w:sz w:val="24"/>
        </w:rPr>
        <w:t xml:space="preserve">as empresas registradas: redução da participação de China e Índia (número de registros </w:t>
      </w:r>
      <w:proofErr w:type="gramStart"/>
      <w:r w:rsidRPr="00872429">
        <w:rPr>
          <w:rFonts w:ascii="Arial" w:hAnsi="Arial" w:cs="Arial"/>
          <w:sz w:val="24"/>
        </w:rPr>
        <w:t>concedidos menor</w:t>
      </w:r>
      <w:proofErr w:type="gramEnd"/>
      <w:r w:rsidRPr="00872429">
        <w:rPr>
          <w:rFonts w:ascii="Arial" w:hAnsi="Arial" w:cs="Arial"/>
          <w:sz w:val="24"/>
        </w:rPr>
        <w:t xml:space="preserve"> do que</w:t>
      </w:r>
      <w:r w:rsidR="00BD3081" w:rsidRPr="00872429">
        <w:rPr>
          <w:rFonts w:ascii="Arial" w:hAnsi="Arial" w:cs="Arial"/>
          <w:sz w:val="24"/>
        </w:rPr>
        <w:t xml:space="preserve"> </w:t>
      </w:r>
      <w:r w:rsidR="00ED6297" w:rsidRPr="00872429">
        <w:rPr>
          <w:rFonts w:ascii="Arial" w:hAnsi="Arial" w:cs="Arial"/>
          <w:sz w:val="24"/>
        </w:rPr>
        <w:t>o</w:t>
      </w:r>
      <w:r w:rsidRPr="00872429">
        <w:rPr>
          <w:rFonts w:ascii="Arial" w:hAnsi="Arial" w:cs="Arial"/>
          <w:sz w:val="24"/>
        </w:rPr>
        <w:t xml:space="preserve"> inicialmente possível) e aumento da</w:t>
      </w:r>
      <w:r w:rsidR="00203572" w:rsidRPr="00872429">
        <w:rPr>
          <w:rFonts w:ascii="Arial" w:hAnsi="Arial" w:cs="Arial"/>
          <w:sz w:val="24"/>
        </w:rPr>
        <w:t xml:space="preserve"> participação da</w:t>
      </w:r>
      <w:r w:rsidRPr="00872429">
        <w:rPr>
          <w:rFonts w:ascii="Arial" w:hAnsi="Arial" w:cs="Arial"/>
          <w:sz w:val="24"/>
        </w:rPr>
        <w:t xml:space="preserve"> União Europeia. </w:t>
      </w:r>
    </w:p>
    <w:p w:rsidR="00E30CBF" w:rsidRPr="00872429" w:rsidRDefault="00E30CBF" w:rsidP="00E30CBF">
      <w:pPr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 xml:space="preserve">Considerando que não houve alteração na origem dos países dos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cadastrados pela ANVISA, pode-se inferir que a redução da participação na distribuição dos países/blocos após a obrigatoriedade do registro deveu-se, muito pr</w:t>
      </w:r>
      <w:r w:rsidR="00F224F3" w:rsidRPr="00872429">
        <w:rPr>
          <w:rFonts w:ascii="Arial" w:hAnsi="Arial" w:cs="Arial"/>
          <w:sz w:val="24"/>
        </w:rPr>
        <w:t xml:space="preserve">ovavelmente, </w:t>
      </w:r>
      <w:proofErr w:type="gramStart"/>
      <w:r w:rsidR="00F224F3" w:rsidRPr="00872429">
        <w:rPr>
          <w:rFonts w:ascii="Arial" w:hAnsi="Arial" w:cs="Arial"/>
          <w:sz w:val="24"/>
        </w:rPr>
        <w:t>à</w:t>
      </w:r>
      <w:proofErr w:type="gramEnd"/>
      <w:r w:rsidRPr="00872429">
        <w:rPr>
          <w:rFonts w:ascii="Arial" w:hAnsi="Arial" w:cs="Arial"/>
          <w:sz w:val="24"/>
        </w:rPr>
        <w:t xml:space="preserve"> não aprovação da empresa fabricante internacional quando da inspeção sanitária realizada pela ANVISA para emissão do CBPF</w:t>
      </w:r>
      <w:r w:rsidR="00F224F3" w:rsidRPr="00872429">
        <w:rPr>
          <w:rFonts w:ascii="Arial" w:hAnsi="Arial" w:cs="Arial"/>
          <w:sz w:val="24"/>
        </w:rPr>
        <w:t>. Não se</w:t>
      </w:r>
      <w:r w:rsidRPr="00872429">
        <w:rPr>
          <w:rFonts w:ascii="Arial" w:hAnsi="Arial" w:cs="Arial"/>
          <w:sz w:val="24"/>
        </w:rPr>
        <w:t xml:space="preserve"> pode</w:t>
      </w:r>
      <w:r w:rsidR="00246706" w:rsidRPr="00872429">
        <w:rPr>
          <w:rFonts w:ascii="Arial" w:hAnsi="Arial" w:cs="Arial"/>
          <w:sz w:val="24"/>
        </w:rPr>
        <w:t>, por outro lado,</w:t>
      </w:r>
      <w:r w:rsidR="00BD3081" w:rsidRPr="00872429">
        <w:rPr>
          <w:rFonts w:ascii="Arial" w:hAnsi="Arial" w:cs="Arial"/>
          <w:sz w:val="24"/>
        </w:rPr>
        <w:t xml:space="preserve"> </w:t>
      </w:r>
      <w:r w:rsidR="00F224F3" w:rsidRPr="00872429">
        <w:rPr>
          <w:rFonts w:ascii="Arial" w:hAnsi="Arial" w:cs="Arial"/>
          <w:sz w:val="24"/>
        </w:rPr>
        <w:t xml:space="preserve">afastar a hipótese de a redução </w:t>
      </w:r>
      <w:r w:rsidRPr="00872429">
        <w:rPr>
          <w:rFonts w:ascii="Arial" w:hAnsi="Arial" w:cs="Arial"/>
          <w:sz w:val="24"/>
        </w:rPr>
        <w:t xml:space="preserve">ter sido </w:t>
      </w:r>
      <w:r w:rsidR="00F224F3" w:rsidRPr="00872429">
        <w:rPr>
          <w:rFonts w:ascii="Arial" w:hAnsi="Arial" w:cs="Arial"/>
          <w:sz w:val="24"/>
        </w:rPr>
        <w:t xml:space="preserve">devida </w:t>
      </w:r>
      <w:proofErr w:type="gramStart"/>
      <w:r w:rsidR="00F224F3" w:rsidRPr="00872429">
        <w:rPr>
          <w:rFonts w:ascii="Arial" w:hAnsi="Arial" w:cs="Arial"/>
          <w:sz w:val="24"/>
        </w:rPr>
        <w:t>à</w:t>
      </w:r>
      <w:proofErr w:type="gramEnd"/>
      <w:r w:rsidR="00BD3081" w:rsidRPr="00872429">
        <w:rPr>
          <w:rFonts w:ascii="Arial" w:hAnsi="Arial" w:cs="Arial"/>
          <w:sz w:val="24"/>
        </w:rPr>
        <w:t xml:space="preserve"> </w:t>
      </w:r>
      <w:r w:rsidRPr="00872429">
        <w:rPr>
          <w:rFonts w:ascii="Arial" w:hAnsi="Arial" w:cs="Arial"/>
          <w:sz w:val="24"/>
        </w:rPr>
        <w:t xml:space="preserve">não solicitação do registro pela empresa consumidora do IFA no Brasil. </w:t>
      </w:r>
      <w:r w:rsidR="00A61664" w:rsidRPr="00872429">
        <w:rPr>
          <w:rFonts w:ascii="Arial" w:hAnsi="Arial" w:cs="Arial"/>
          <w:sz w:val="24"/>
        </w:rPr>
        <w:t>O aumento verificado na participação de determinado país/bloco, pela mesma análise, possivelmente se deu em função da reorganização (deslocamento) da distribuição da participação, devido à redução do número de ofertantes de determinado país/bloco.</w:t>
      </w:r>
    </w:p>
    <w:p w:rsidR="00E30CBF" w:rsidRPr="00872429" w:rsidRDefault="00BD3081" w:rsidP="00E30CBF">
      <w:pPr>
        <w:tabs>
          <w:tab w:val="left" w:pos="1785"/>
        </w:tabs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 xml:space="preserve">Pelo </w:t>
      </w:r>
      <w:r w:rsidR="00AC4343" w:rsidRPr="00872429">
        <w:rPr>
          <w:rFonts w:ascii="Arial" w:hAnsi="Arial" w:cs="Arial"/>
          <w:sz w:val="24"/>
        </w:rPr>
        <w:t>Gráfico</w:t>
      </w:r>
      <w:r w:rsidR="007C1462" w:rsidRPr="00872429">
        <w:rPr>
          <w:rFonts w:ascii="Arial" w:hAnsi="Arial" w:cs="Arial"/>
          <w:sz w:val="24"/>
        </w:rPr>
        <w:t xml:space="preserve"> </w:t>
      </w:r>
      <w:proofErr w:type="gramStart"/>
      <w:r w:rsidR="007C1462" w:rsidRPr="00872429">
        <w:rPr>
          <w:rFonts w:ascii="Arial" w:hAnsi="Arial" w:cs="Arial"/>
          <w:sz w:val="24"/>
        </w:rPr>
        <w:t>4</w:t>
      </w:r>
      <w:proofErr w:type="gramEnd"/>
      <w:r w:rsidR="00E30CBF" w:rsidRPr="00872429">
        <w:rPr>
          <w:rFonts w:ascii="Arial" w:hAnsi="Arial" w:cs="Arial"/>
          <w:sz w:val="24"/>
        </w:rPr>
        <w:t xml:space="preserve">, pode-se concluir que o Brasil teve resultados inferiores aos da União Europeia em relação ao número de registros obtidos por força da RDC n° 57/09. Ainda que tenha aumentado sua participação em relação àquela contabilizada antes do registro (que, segundo dados do presente estudo, indicavam 15% no total dos </w:t>
      </w:r>
      <w:proofErr w:type="spellStart"/>
      <w:r w:rsidR="00E30CBF" w:rsidRPr="00872429">
        <w:rPr>
          <w:rFonts w:ascii="Arial" w:hAnsi="Arial" w:cs="Arial"/>
          <w:sz w:val="24"/>
        </w:rPr>
        <w:t>IFAs</w:t>
      </w:r>
      <w:proofErr w:type="spellEnd"/>
      <w:r w:rsidR="00E30CBF" w:rsidRPr="00872429">
        <w:rPr>
          <w:rFonts w:ascii="Arial" w:hAnsi="Arial" w:cs="Arial"/>
          <w:sz w:val="24"/>
        </w:rPr>
        <w:t xml:space="preserve"> cadastrados – </w:t>
      </w:r>
      <w:r w:rsidRPr="00872429">
        <w:rPr>
          <w:rFonts w:ascii="Arial" w:hAnsi="Arial" w:cs="Arial"/>
          <w:sz w:val="24"/>
        </w:rPr>
        <w:t xml:space="preserve">Tabela </w:t>
      </w:r>
      <w:r w:rsidR="00451AFD" w:rsidRPr="00872429">
        <w:rPr>
          <w:rFonts w:ascii="Arial" w:hAnsi="Arial" w:cs="Arial"/>
          <w:sz w:val="24"/>
        </w:rPr>
        <w:t>1</w:t>
      </w:r>
      <w:r w:rsidR="00E30CBF" w:rsidRPr="00872429">
        <w:rPr>
          <w:rFonts w:ascii="Arial" w:hAnsi="Arial" w:cs="Arial"/>
          <w:sz w:val="24"/>
        </w:rPr>
        <w:t xml:space="preserve">), na avaliação global a mesma é ainda preocupante, pois cerca de 80% dos </w:t>
      </w:r>
      <w:proofErr w:type="spellStart"/>
      <w:r w:rsidR="00E30CBF" w:rsidRPr="00872429">
        <w:rPr>
          <w:rFonts w:ascii="Arial" w:hAnsi="Arial" w:cs="Arial"/>
          <w:sz w:val="24"/>
        </w:rPr>
        <w:t>IFAs</w:t>
      </w:r>
      <w:proofErr w:type="spellEnd"/>
      <w:r w:rsidR="00E30CBF" w:rsidRPr="00872429">
        <w:rPr>
          <w:rFonts w:ascii="Arial" w:hAnsi="Arial" w:cs="Arial"/>
          <w:sz w:val="24"/>
        </w:rPr>
        <w:t xml:space="preserve"> consumidos no Brasil continuam sendo importados. </w:t>
      </w:r>
    </w:p>
    <w:p w:rsidR="00E30CBF" w:rsidRPr="00872429" w:rsidRDefault="00CB16DB" w:rsidP="00451AFD">
      <w:pPr>
        <w:tabs>
          <w:tab w:val="left" w:pos="1785"/>
        </w:tabs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 xml:space="preserve">A </w:t>
      </w:r>
      <w:r w:rsidR="00E30CBF" w:rsidRPr="00872429">
        <w:rPr>
          <w:rFonts w:ascii="Arial" w:hAnsi="Arial" w:cs="Arial"/>
          <w:sz w:val="24"/>
        </w:rPr>
        <w:t xml:space="preserve">distribuição da oferta atual dos 20 </w:t>
      </w:r>
      <w:proofErr w:type="spellStart"/>
      <w:r w:rsidR="00E30CBF" w:rsidRPr="00872429">
        <w:rPr>
          <w:rFonts w:ascii="Arial" w:hAnsi="Arial" w:cs="Arial"/>
          <w:sz w:val="24"/>
        </w:rPr>
        <w:t>IFAs</w:t>
      </w:r>
      <w:proofErr w:type="spellEnd"/>
      <w:r w:rsidR="00E30CBF" w:rsidRPr="00872429">
        <w:rPr>
          <w:rFonts w:ascii="Arial" w:hAnsi="Arial" w:cs="Arial"/>
          <w:sz w:val="24"/>
        </w:rPr>
        <w:t xml:space="preserve"> em relação à fabricação local e à importação, após a obrigatoriedade do registro</w:t>
      </w:r>
      <w:r w:rsidRPr="00872429">
        <w:rPr>
          <w:rFonts w:ascii="Arial" w:hAnsi="Arial" w:cs="Arial"/>
          <w:sz w:val="24"/>
        </w:rPr>
        <w:t xml:space="preserve">, ficou assim: 20% são de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fabricados no Brasil, enquanto 80% são de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importados. </w:t>
      </w:r>
      <w:r w:rsidR="006D5635" w:rsidRPr="00872429">
        <w:rPr>
          <w:rFonts w:ascii="Arial" w:hAnsi="Arial" w:cs="Arial"/>
          <w:sz w:val="24"/>
        </w:rPr>
        <w:t>Houve</w:t>
      </w:r>
      <w:r w:rsidR="00BD3081" w:rsidRPr="00872429">
        <w:rPr>
          <w:rFonts w:ascii="Arial" w:hAnsi="Arial" w:cs="Arial"/>
          <w:sz w:val="24"/>
        </w:rPr>
        <w:t xml:space="preserve"> </w:t>
      </w:r>
      <w:r w:rsidRPr="00872429">
        <w:rPr>
          <w:rFonts w:ascii="Arial" w:hAnsi="Arial" w:cs="Arial"/>
          <w:sz w:val="24"/>
        </w:rPr>
        <w:t xml:space="preserve">um aumento da oferta de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por empresas fabricantes localizadas no Brasil. Ainda que pequeno em termos de valor absoluto (de 15% para 20%), este aumento tem algum significado em valores percentuais: </w:t>
      </w:r>
      <w:r w:rsidRPr="00872429">
        <w:rPr>
          <w:rFonts w:ascii="Arial" w:hAnsi="Arial" w:cs="Arial"/>
          <w:sz w:val="24"/>
        </w:rPr>
        <w:lastRenderedPageBreak/>
        <w:t>33%.</w:t>
      </w:r>
      <w:r w:rsidR="00062722" w:rsidRPr="00872429">
        <w:rPr>
          <w:rFonts w:ascii="Arial" w:hAnsi="Arial" w:cs="Arial"/>
          <w:sz w:val="24"/>
        </w:rPr>
        <w:t xml:space="preserve"> </w:t>
      </w:r>
      <w:r w:rsidR="00E30CBF" w:rsidRPr="00872429">
        <w:rPr>
          <w:rFonts w:ascii="Arial" w:hAnsi="Arial" w:cs="Arial"/>
          <w:sz w:val="24"/>
        </w:rPr>
        <w:t xml:space="preserve">Considerando-se que a oferta de medicamentos ao mercado brasileiro não sofreu qualquer redução nesse período de pós-registro, pode-se inferir que houve uma mudança na oferta dos </w:t>
      </w:r>
      <w:proofErr w:type="spellStart"/>
      <w:r w:rsidR="00E30CBF" w:rsidRPr="00872429">
        <w:rPr>
          <w:rFonts w:ascii="Arial" w:hAnsi="Arial" w:cs="Arial"/>
          <w:sz w:val="24"/>
        </w:rPr>
        <w:t>IFAs</w:t>
      </w:r>
      <w:proofErr w:type="spellEnd"/>
      <w:r w:rsidR="00E30CBF" w:rsidRPr="00872429">
        <w:rPr>
          <w:rFonts w:ascii="Arial" w:hAnsi="Arial" w:cs="Arial"/>
          <w:sz w:val="24"/>
        </w:rPr>
        <w:t xml:space="preserve">, com o deslocamento de parte do consumo de importados para produtos fabricados localmente. </w:t>
      </w:r>
    </w:p>
    <w:p w:rsidR="00E30CBF" w:rsidRPr="00872429" w:rsidRDefault="00E30CBF" w:rsidP="00E30CBF">
      <w:pPr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 xml:space="preserve">Concluída a </w:t>
      </w:r>
      <w:r w:rsidR="00FB15B5" w:rsidRPr="00872429">
        <w:rPr>
          <w:rFonts w:ascii="Arial" w:hAnsi="Arial" w:cs="Arial"/>
          <w:sz w:val="24"/>
        </w:rPr>
        <w:t xml:space="preserve">análise da isonomia regulatória </w:t>
      </w:r>
      <w:r w:rsidRPr="00872429">
        <w:rPr>
          <w:rFonts w:ascii="Arial" w:hAnsi="Arial" w:cs="Arial"/>
          <w:sz w:val="24"/>
        </w:rPr>
        <w:t>restava, ainda, comprovar a hipótese do aumento da produção (ou oferta) local; o que se deu através dos dados de importação desses insumos.</w:t>
      </w:r>
    </w:p>
    <w:p w:rsidR="00E30CBF" w:rsidRPr="00162332" w:rsidRDefault="00E30CBF" w:rsidP="00162332">
      <w:pPr>
        <w:spacing w:before="120"/>
        <w:ind w:firstLine="0"/>
        <w:rPr>
          <w:rFonts w:ascii="Arial" w:hAnsi="Arial" w:cs="Arial"/>
          <w:i/>
          <w:sz w:val="24"/>
        </w:rPr>
      </w:pPr>
      <w:r w:rsidRPr="00162332">
        <w:rPr>
          <w:rFonts w:ascii="Arial" w:hAnsi="Arial" w:cs="Arial"/>
          <w:i/>
          <w:sz w:val="24"/>
        </w:rPr>
        <w:t xml:space="preserve">Evolução das importações dos </w:t>
      </w:r>
      <w:proofErr w:type="spellStart"/>
      <w:r w:rsidRPr="00162332">
        <w:rPr>
          <w:rFonts w:ascii="Arial" w:hAnsi="Arial" w:cs="Arial"/>
          <w:i/>
          <w:sz w:val="24"/>
        </w:rPr>
        <w:t>IFAs</w:t>
      </w:r>
      <w:proofErr w:type="spellEnd"/>
      <w:r w:rsidRPr="00162332">
        <w:rPr>
          <w:rFonts w:ascii="Arial" w:hAnsi="Arial" w:cs="Arial"/>
          <w:i/>
          <w:sz w:val="24"/>
        </w:rPr>
        <w:t xml:space="preserve"> prioritários</w:t>
      </w:r>
    </w:p>
    <w:p w:rsidR="00E30CBF" w:rsidRPr="00872429" w:rsidRDefault="00E30CBF" w:rsidP="00E30CBF">
      <w:pPr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 xml:space="preserve">Dos 20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estudados, apenas 10 puderam ter os dados de importação levantados, tendo em vista o fato de os demais não apresentarem um código específico na NCM</w:t>
      </w:r>
      <w:r w:rsidR="00B04215" w:rsidRPr="00872429">
        <w:rPr>
          <w:rStyle w:val="Refdenotaderodap"/>
          <w:rFonts w:ascii="Arial" w:hAnsi="Arial" w:cs="Arial"/>
          <w:sz w:val="24"/>
        </w:rPr>
        <w:footnoteReference w:id="7"/>
      </w:r>
      <w:r w:rsidRPr="00872429">
        <w:rPr>
          <w:rFonts w:ascii="Arial" w:hAnsi="Arial" w:cs="Arial"/>
          <w:sz w:val="24"/>
        </w:rPr>
        <w:t xml:space="preserve">, não sendo possível, nessa circunstância, apurar quanto realmente foi importado daquele produto no código genérico no qual se encontra classificado. Além disso, dois desses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tiveram seus dados computados com os seus sais </w:t>
      </w:r>
      <w:r w:rsidR="00DC01DA" w:rsidRPr="00872429">
        <w:rPr>
          <w:rFonts w:ascii="Arial" w:hAnsi="Arial" w:cs="Arial"/>
          <w:sz w:val="24"/>
        </w:rPr>
        <w:t>em função, também,</w:t>
      </w:r>
      <w:r w:rsidRPr="00872429">
        <w:rPr>
          <w:rFonts w:ascii="Arial" w:hAnsi="Arial" w:cs="Arial"/>
          <w:sz w:val="24"/>
        </w:rPr>
        <w:t xml:space="preserve"> da classificação da NCM. O período definido para análise do comportamento das importações foi de 10 anos, cujo marco verificador foi o ano de 2010 (ano de exigência da RDC n° 57/09). Apurou-se a quantidade, em quilos, importada do IFA por país de procedência; o valor, em US$ FOB</w:t>
      </w:r>
      <w:r w:rsidR="000A1699" w:rsidRPr="00872429">
        <w:rPr>
          <w:rStyle w:val="Refdenotaderodap"/>
          <w:rFonts w:ascii="Arial" w:hAnsi="Arial" w:cs="Arial"/>
          <w:sz w:val="24"/>
        </w:rPr>
        <w:footnoteReference w:id="8"/>
      </w:r>
      <w:r w:rsidRPr="00872429">
        <w:rPr>
          <w:rFonts w:ascii="Arial" w:hAnsi="Arial" w:cs="Arial"/>
          <w:sz w:val="24"/>
        </w:rPr>
        <w:t>, das importações realizadas por país de procedência; e o preço médio dessas importações (US$ FOB/kg).</w:t>
      </w:r>
    </w:p>
    <w:p w:rsidR="00E30CBF" w:rsidRPr="00872429" w:rsidRDefault="00E30CBF" w:rsidP="00E30CBF">
      <w:pPr>
        <w:tabs>
          <w:tab w:val="left" w:pos="1755"/>
        </w:tabs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 xml:space="preserve">Como um dos objetivos do estudo foi verificar se houve redução no volume das importações dos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após a obrigatoriedade do registro, a análise desse parâmetro foi feita pelas quantidades importadas (kg) e não pelo valor monetário das mesmas (US$ FOB</w:t>
      </w:r>
      <w:r w:rsidR="003F554A" w:rsidRPr="00872429">
        <w:rPr>
          <w:rFonts w:ascii="Arial" w:hAnsi="Arial" w:cs="Arial"/>
          <w:sz w:val="24"/>
        </w:rPr>
        <w:t>)</w:t>
      </w:r>
      <w:r w:rsidR="00D0087C" w:rsidRPr="00872429">
        <w:rPr>
          <w:rFonts w:ascii="Arial" w:hAnsi="Arial" w:cs="Arial"/>
          <w:sz w:val="24"/>
        </w:rPr>
        <w:t xml:space="preserve"> e o</w:t>
      </w:r>
      <w:r w:rsidRPr="00872429">
        <w:rPr>
          <w:rFonts w:ascii="Arial" w:hAnsi="Arial" w:cs="Arial"/>
          <w:sz w:val="24"/>
        </w:rPr>
        <w:t xml:space="preserve"> levantamento dos dados </w:t>
      </w:r>
      <w:r w:rsidR="00D0087C" w:rsidRPr="00872429">
        <w:rPr>
          <w:rFonts w:ascii="Arial" w:hAnsi="Arial" w:cs="Arial"/>
          <w:sz w:val="24"/>
        </w:rPr>
        <w:t>se deu</w:t>
      </w:r>
      <w:r w:rsidR="00066075" w:rsidRPr="00872429">
        <w:rPr>
          <w:rFonts w:ascii="Arial" w:hAnsi="Arial" w:cs="Arial"/>
          <w:sz w:val="24"/>
        </w:rPr>
        <w:t xml:space="preserve"> </w:t>
      </w:r>
      <w:r w:rsidR="00FB15B5" w:rsidRPr="00872429">
        <w:rPr>
          <w:rFonts w:ascii="Arial" w:hAnsi="Arial" w:cs="Arial"/>
          <w:sz w:val="24"/>
        </w:rPr>
        <w:t>do período anterior à</w:t>
      </w:r>
      <w:r w:rsidRPr="00872429">
        <w:rPr>
          <w:rFonts w:ascii="Arial" w:hAnsi="Arial" w:cs="Arial"/>
          <w:sz w:val="24"/>
        </w:rPr>
        <w:t xml:space="preserve"> RDC n° 57/09</w:t>
      </w:r>
      <w:r w:rsidR="00FB15B5" w:rsidRPr="00872429">
        <w:rPr>
          <w:rFonts w:ascii="Arial" w:hAnsi="Arial" w:cs="Arial"/>
          <w:sz w:val="24"/>
        </w:rPr>
        <w:t>,</w:t>
      </w:r>
      <w:r w:rsidRPr="00872429">
        <w:rPr>
          <w:rFonts w:ascii="Arial" w:hAnsi="Arial" w:cs="Arial"/>
          <w:sz w:val="24"/>
        </w:rPr>
        <w:t xml:space="preserve"> ao</w:t>
      </w:r>
      <w:r w:rsidR="003F554A" w:rsidRPr="00872429">
        <w:rPr>
          <w:rFonts w:ascii="Arial" w:hAnsi="Arial" w:cs="Arial"/>
          <w:sz w:val="24"/>
        </w:rPr>
        <w:t xml:space="preserve"> posterior</w:t>
      </w:r>
      <w:r w:rsidRPr="00872429">
        <w:rPr>
          <w:rFonts w:ascii="Arial" w:hAnsi="Arial" w:cs="Arial"/>
          <w:sz w:val="24"/>
        </w:rPr>
        <w:t xml:space="preserve">. </w:t>
      </w:r>
      <w:r w:rsidR="00246706" w:rsidRPr="00872429">
        <w:rPr>
          <w:rFonts w:ascii="Arial" w:hAnsi="Arial" w:cs="Arial"/>
          <w:sz w:val="24"/>
        </w:rPr>
        <w:t>Foi observada</w:t>
      </w:r>
      <w:r w:rsidRPr="00872429">
        <w:rPr>
          <w:rFonts w:ascii="Arial" w:hAnsi="Arial" w:cs="Arial"/>
          <w:sz w:val="24"/>
        </w:rPr>
        <w:t xml:space="preserve"> redução para a maioria desses produtos. Dos seis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fabricados, da relação de 10 investigados, três registraram redução nesse período. </w:t>
      </w:r>
    </w:p>
    <w:p w:rsidR="00E30CBF" w:rsidRPr="00872429" w:rsidRDefault="00E30CBF" w:rsidP="00E30CBF">
      <w:pPr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 xml:space="preserve">A grande quantidade importada dos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fabricados no Brasil sugere que o custo do produto importado é menor do que aquele gerado pelo produtor local. Além disso, verificou-se que o (menor) preço foi o parâmetro determinante para a grande concentração de importações de origem chinesa e indiana; especialmente a primeira, sem contar a possibilidade de ter ocorrido importações de grandes quantidades para a </w:t>
      </w:r>
      <w:r w:rsidRPr="00872429">
        <w:rPr>
          <w:rFonts w:ascii="Arial" w:hAnsi="Arial" w:cs="Arial"/>
          <w:sz w:val="24"/>
        </w:rPr>
        <w:lastRenderedPageBreak/>
        <w:t>formação de estoque enquanto o pedido de registro encontrava-se em análise pela ANVISA. É provável, no entanto, que essa situação reverta-se quando o mercado se adequar às exigências sanitárias para o registro do IFA.</w:t>
      </w:r>
    </w:p>
    <w:p w:rsidR="00E30CBF" w:rsidRPr="00872429" w:rsidRDefault="00E30CBF" w:rsidP="00E30CBF">
      <w:pPr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 xml:space="preserve">A análise da reação do mercado </w:t>
      </w:r>
      <w:r w:rsidR="00B00552" w:rsidRPr="00872429">
        <w:rPr>
          <w:rFonts w:ascii="Arial" w:hAnsi="Arial" w:cs="Arial"/>
          <w:sz w:val="24"/>
        </w:rPr>
        <w:t xml:space="preserve">brasileiro </w:t>
      </w:r>
      <w:r w:rsidRPr="00872429">
        <w:rPr>
          <w:rFonts w:ascii="Arial" w:hAnsi="Arial" w:cs="Arial"/>
          <w:sz w:val="24"/>
        </w:rPr>
        <w:t xml:space="preserve">de </w:t>
      </w:r>
      <w:proofErr w:type="spellStart"/>
      <w:r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, baseada no levantamento das importações, ficou comprometida pelo pouco tempo havido desde o início da aplicação da RDC n° 57/09 (2010) até 2012, especialmente para aqueles produtos cujos registros foram obtidos apenas neste último ano. </w:t>
      </w:r>
    </w:p>
    <w:p w:rsidR="00E30CBF" w:rsidRPr="00872429" w:rsidRDefault="00E30CBF" w:rsidP="00E30CBF">
      <w:pPr>
        <w:tabs>
          <w:tab w:val="left" w:pos="5580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</w:rPr>
        <w:sectPr w:rsidR="00E30CBF" w:rsidRPr="00872429" w:rsidSect="00A73E6C">
          <w:footnotePr>
            <w:numFmt w:val="lowerRoman"/>
            <w:numRestart w:val="eachPage"/>
          </w:footnotePr>
          <w:type w:val="continuous"/>
          <w:pgSz w:w="11906" w:h="16838"/>
          <w:pgMar w:top="1134" w:right="1134" w:bottom="1134" w:left="1134" w:header="709" w:footer="709" w:gutter="0"/>
          <w:lnNumType w:countBy="1"/>
          <w:cols w:space="708"/>
          <w:docGrid w:linePitch="360"/>
        </w:sectPr>
      </w:pPr>
    </w:p>
    <w:p w:rsidR="00E30CBF" w:rsidRPr="00A73E6C" w:rsidRDefault="00E30CBF" w:rsidP="002064A9">
      <w:pPr>
        <w:spacing w:before="120"/>
        <w:ind w:firstLine="0"/>
        <w:rPr>
          <w:rFonts w:ascii="Arial" w:hAnsi="Arial" w:cs="Arial"/>
          <w:b/>
          <w:sz w:val="24"/>
        </w:rPr>
      </w:pPr>
      <w:r w:rsidRPr="00A73E6C">
        <w:rPr>
          <w:rFonts w:ascii="Arial" w:hAnsi="Arial" w:cs="Arial"/>
          <w:b/>
          <w:sz w:val="24"/>
        </w:rPr>
        <w:lastRenderedPageBreak/>
        <w:t>Co</w:t>
      </w:r>
      <w:r w:rsidR="008D3372" w:rsidRPr="00A73E6C">
        <w:rPr>
          <w:rFonts w:ascii="Arial" w:hAnsi="Arial" w:cs="Arial"/>
          <w:b/>
          <w:sz w:val="24"/>
        </w:rPr>
        <w:t>n</w:t>
      </w:r>
      <w:r w:rsidR="004F4419" w:rsidRPr="00A73E6C">
        <w:rPr>
          <w:rFonts w:ascii="Arial" w:hAnsi="Arial" w:cs="Arial"/>
          <w:b/>
          <w:sz w:val="24"/>
        </w:rPr>
        <w:t>clusões</w:t>
      </w:r>
    </w:p>
    <w:p w:rsidR="00E30CBF" w:rsidRPr="00872429" w:rsidRDefault="00E30CBF" w:rsidP="002064A9">
      <w:pPr>
        <w:spacing w:before="120"/>
        <w:rPr>
          <w:rFonts w:ascii="Arial" w:hAnsi="Arial" w:cs="Arial"/>
          <w:sz w:val="24"/>
        </w:rPr>
        <w:sectPr w:rsidR="00E30CBF" w:rsidRPr="00872429" w:rsidSect="00A73E6C">
          <w:type w:val="continuous"/>
          <w:pgSz w:w="11906" w:h="16838"/>
          <w:pgMar w:top="1134" w:right="1134" w:bottom="1134" w:left="1134" w:header="709" w:footer="709" w:gutter="0"/>
          <w:lnNumType w:countBy="1"/>
          <w:cols w:space="708"/>
          <w:docGrid w:linePitch="360"/>
        </w:sectPr>
      </w:pPr>
    </w:p>
    <w:p w:rsidR="009D6062" w:rsidRPr="00872429" w:rsidRDefault="009D6062" w:rsidP="00E30CBF">
      <w:pPr>
        <w:pStyle w:val="Corpodetexto"/>
        <w:rPr>
          <w:rFonts w:ascii="Arial" w:hAnsi="Arial" w:cs="Arial"/>
          <w:szCs w:val="22"/>
        </w:rPr>
      </w:pPr>
      <w:r w:rsidRPr="00872429">
        <w:rPr>
          <w:rFonts w:ascii="Arial" w:hAnsi="Arial" w:cs="Arial"/>
          <w:szCs w:val="22"/>
        </w:rPr>
        <w:lastRenderedPageBreak/>
        <w:t>O menor número de registros concedidos, especialmente aqueles de fabricantes internacionais, frente ao número possível</w:t>
      </w:r>
      <w:r w:rsidR="00FB15B5" w:rsidRPr="00872429">
        <w:rPr>
          <w:rFonts w:ascii="Arial" w:hAnsi="Arial" w:cs="Arial"/>
          <w:szCs w:val="22"/>
        </w:rPr>
        <w:t>,</w:t>
      </w:r>
      <w:r w:rsidRPr="00872429">
        <w:rPr>
          <w:rFonts w:ascii="Arial" w:hAnsi="Arial" w:cs="Arial"/>
          <w:szCs w:val="22"/>
        </w:rPr>
        <w:t xml:space="preserve"> evidenciou a aplicabilidade e importância da RDC n° 57/09 ao tratar </w:t>
      </w:r>
      <w:proofErr w:type="spellStart"/>
      <w:r w:rsidRPr="00872429">
        <w:rPr>
          <w:rFonts w:ascii="Arial" w:hAnsi="Arial" w:cs="Arial"/>
          <w:szCs w:val="22"/>
        </w:rPr>
        <w:t>isonomicamente</w:t>
      </w:r>
      <w:proofErr w:type="spellEnd"/>
      <w:r w:rsidRPr="00872429">
        <w:rPr>
          <w:rFonts w:ascii="Arial" w:hAnsi="Arial" w:cs="Arial"/>
          <w:szCs w:val="22"/>
        </w:rPr>
        <w:t xml:space="preserve"> o fabricante local e aquele de origem externa.</w:t>
      </w:r>
    </w:p>
    <w:p w:rsidR="00E30CBF" w:rsidRPr="00872429" w:rsidRDefault="00E30CBF" w:rsidP="00E30CBF">
      <w:pPr>
        <w:pStyle w:val="Corpodetexto"/>
        <w:rPr>
          <w:rFonts w:ascii="Arial" w:hAnsi="Arial" w:cs="Arial"/>
          <w:szCs w:val="22"/>
        </w:rPr>
      </w:pPr>
      <w:r w:rsidRPr="00872429">
        <w:rPr>
          <w:rFonts w:ascii="Arial" w:hAnsi="Arial" w:cs="Arial"/>
          <w:szCs w:val="22"/>
        </w:rPr>
        <w:t xml:space="preserve">A redução </w:t>
      </w:r>
      <w:r w:rsidR="00DB3858" w:rsidRPr="00872429">
        <w:rPr>
          <w:rFonts w:ascii="Arial" w:hAnsi="Arial" w:cs="Arial"/>
          <w:szCs w:val="22"/>
        </w:rPr>
        <w:t xml:space="preserve">observada </w:t>
      </w:r>
      <w:r w:rsidRPr="00872429">
        <w:rPr>
          <w:rFonts w:ascii="Arial" w:hAnsi="Arial" w:cs="Arial"/>
          <w:szCs w:val="22"/>
        </w:rPr>
        <w:t>no número de fornecimento</w:t>
      </w:r>
      <w:r w:rsidR="00FB15B5" w:rsidRPr="00872429">
        <w:rPr>
          <w:rFonts w:ascii="Arial" w:hAnsi="Arial" w:cs="Arial"/>
          <w:szCs w:val="22"/>
        </w:rPr>
        <w:t>s</w:t>
      </w:r>
      <w:r w:rsidRPr="00872429">
        <w:rPr>
          <w:rFonts w:ascii="Arial" w:hAnsi="Arial" w:cs="Arial"/>
          <w:szCs w:val="22"/>
        </w:rPr>
        <w:t xml:space="preserve"> externo</w:t>
      </w:r>
      <w:r w:rsidR="00FB15B5" w:rsidRPr="00872429">
        <w:rPr>
          <w:rFonts w:ascii="Arial" w:hAnsi="Arial" w:cs="Arial"/>
          <w:szCs w:val="22"/>
        </w:rPr>
        <w:t>s</w:t>
      </w:r>
      <w:r w:rsidRPr="00872429">
        <w:rPr>
          <w:rFonts w:ascii="Arial" w:hAnsi="Arial" w:cs="Arial"/>
          <w:szCs w:val="22"/>
        </w:rPr>
        <w:t xml:space="preserve"> de </w:t>
      </w:r>
      <w:proofErr w:type="spellStart"/>
      <w:r w:rsidRPr="00872429">
        <w:rPr>
          <w:rFonts w:ascii="Arial" w:hAnsi="Arial" w:cs="Arial"/>
          <w:szCs w:val="22"/>
        </w:rPr>
        <w:t>IFAs</w:t>
      </w:r>
      <w:proofErr w:type="spellEnd"/>
      <w:r w:rsidRPr="00872429">
        <w:rPr>
          <w:rFonts w:ascii="Arial" w:hAnsi="Arial" w:cs="Arial"/>
          <w:szCs w:val="22"/>
        </w:rPr>
        <w:t xml:space="preserve"> – apenas 34% do possível - pode ser explicada</w:t>
      </w:r>
      <w:r w:rsidR="00062722" w:rsidRPr="00872429">
        <w:rPr>
          <w:rFonts w:ascii="Arial" w:hAnsi="Arial" w:cs="Arial"/>
          <w:szCs w:val="22"/>
        </w:rPr>
        <w:t xml:space="preserve"> </w:t>
      </w:r>
      <w:r w:rsidRPr="00872429">
        <w:rPr>
          <w:rFonts w:ascii="Arial" w:hAnsi="Arial" w:cs="Arial"/>
          <w:szCs w:val="22"/>
        </w:rPr>
        <w:t>pela não aprovação das empresas em inspeções conduzidas pela ANVISA</w:t>
      </w:r>
      <w:r w:rsidR="009D6062" w:rsidRPr="00872429">
        <w:rPr>
          <w:rFonts w:ascii="Arial" w:hAnsi="Arial" w:cs="Arial"/>
          <w:szCs w:val="22"/>
        </w:rPr>
        <w:t>,</w:t>
      </w:r>
      <w:r w:rsidR="00062722" w:rsidRPr="00872429">
        <w:rPr>
          <w:rFonts w:ascii="Arial" w:hAnsi="Arial" w:cs="Arial"/>
          <w:szCs w:val="22"/>
        </w:rPr>
        <w:t xml:space="preserve"> </w:t>
      </w:r>
      <w:r w:rsidR="009D6062" w:rsidRPr="00872429">
        <w:rPr>
          <w:rFonts w:ascii="Arial" w:hAnsi="Arial" w:cs="Arial"/>
          <w:szCs w:val="22"/>
        </w:rPr>
        <w:t xml:space="preserve">pela substituição de </w:t>
      </w:r>
      <w:r w:rsidRPr="00872429">
        <w:rPr>
          <w:rFonts w:ascii="Arial" w:hAnsi="Arial" w:cs="Arial"/>
          <w:szCs w:val="22"/>
        </w:rPr>
        <w:t>fornecedores</w:t>
      </w:r>
      <w:r w:rsidR="009D6062" w:rsidRPr="00872429">
        <w:rPr>
          <w:rFonts w:ascii="Arial" w:hAnsi="Arial" w:cs="Arial"/>
          <w:szCs w:val="22"/>
        </w:rPr>
        <w:t xml:space="preserve"> externos</w:t>
      </w:r>
      <w:r w:rsidRPr="00872429">
        <w:rPr>
          <w:rFonts w:ascii="Arial" w:hAnsi="Arial" w:cs="Arial"/>
          <w:szCs w:val="22"/>
        </w:rPr>
        <w:t xml:space="preserve"> (que não cumprem com as BPF)</w:t>
      </w:r>
      <w:r w:rsidR="000A1699" w:rsidRPr="00872429">
        <w:rPr>
          <w:rFonts w:ascii="Arial" w:hAnsi="Arial" w:cs="Arial"/>
          <w:szCs w:val="22"/>
        </w:rPr>
        <w:t xml:space="preserve"> </w:t>
      </w:r>
      <w:r w:rsidRPr="00872429">
        <w:rPr>
          <w:rFonts w:ascii="Arial" w:hAnsi="Arial" w:cs="Arial"/>
          <w:szCs w:val="22"/>
        </w:rPr>
        <w:t xml:space="preserve">ou ainda </w:t>
      </w:r>
      <w:r w:rsidR="002E0A77" w:rsidRPr="00872429">
        <w:rPr>
          <w:rFonts w:ascii="Arial" w:hAnsi="Arial" w:cs="Arial"/>
          <w:szCs w:val="22"/>
        </w:rPr>
        <w:t xml:space="preserve">por </w:t>
      </w:r>
      <w:r w:rsidRPr="00872429">
        <w:rPr>
          <w:rFonts w:ascii="Arial" w:hAnsi="Arial" w:cs="Arial"/>
          <w:szCs w:val="22"/>
        </w:rPr>
        <w:t>desinteresse de fabricantes internacionais de registra</w:t>
      </w:r>
      <w:r w:rsidR="00D363BB" w:rsidRPr="00872429">
        <w:rPr>
          <w:rFonts w:ascii="Arial" w:hAnsi="Arial" w:cs="Arial"/>
          <w:szCs w:val="22"/>
        </w:rPr>
        <w:t>r</w:t>
      </w:r>
      <w:r w:rsidRPr="00872429">
        <w:rPr>
          <w:rFonts w:ascii="Arial" w:hAnsi="Arial" w:cs="Arial"/>
          <w:szCs w:val="22"/>
        </w:rPr>
        <w:t xml:space="preserve"> seus produtos no Brasil.</w:t>
      </w:r>
    </w:p>
    <w:p w:rsidR="00E30CBF" w:rsidRPr="00872429" w:rsidRDefault="00E30CBF" w:rsidP="00E30CBF">
      <w:pPr>
        <w:pStyle w:val="Corpodetexto"/>
        <w:rPr>
          <w:rFonts w:ascii="Arial" w:hAnsi="Arial" w:cs="Arial"/>
          <w:szCs w:val="22"/>
        </w:rPr>
      </w:pPr>
      <w:r w:rsidRPr="00872429">
        <w:rPr>
          <w:rFonts w:ascii="Arial" w:hAnsi="Arial" w:cs="Arial"/>
          <w:szCs w:val="22"/>
        </w:rPr>
        <w:t xml:space="preserve">Também reduzido foi o tempo de análise das importações dos 20 </w:t>
      </w:r>
      <w:proofErr w:type="spellStart"/>
      <w:r w:rsidRPr="00872429">
        <w:rPr>
          <w:rFonts w:ascii="Arial" w:hAnsi="Arial" w:cs="Arial"/>
          <w:szCs w:val="22"/>
        </w:rPr>
        <w:t>IFAs</w:t>
      </w:r>
      <w:proofErr w:type="spellEnd"/>
      <w:r w:rsidRPr="00872429">
        <w:rPr>
          <w:rFonts w:ascii="Arial" w:hAnsi="Arial" w:cs="Arial"/>
          <w:szCs w:val="22"/>
        </w:rPr>
        <w:t>; para alguns casos menos de um ano (registros concedidos em 2012).</w:t>
      </w:r>
      <w:r w:rsidR="00062722" w:rsidRPr="00872429">
        <w:rPr>
          <w:rFonts w:ascii="Arial" w:hAnsi="Arial" w:cs="Arial"/>
          <w:szCs w:val="22"/>
        </w:rPr>
        <w:t xml:space="preserve"> </w:t>
      </w:r>
      <w:r w:rsidR="00A46AB0" w:rsidRPr="00872429">
        <w:rPr>
          <w:rFonts w:ascii="Arial" w:hAnsi="Arial" w:cs="Arial"/>
          <w:szCs w:val="22"/>
        </w:rPr>
        <w:t>Esse f</w:t>
      </w:r>
      <w:r w:rsidRPr="00872429">
        <w:rPr>
          <w:rFonts w:ascii="Arial" w:hAnsi="Arial" w:cs="Arial"/>
          <w:szCs w:val="22"/>
        </w:rPr>
        <w:t xml:space="preserve">ato </w:t>
      </w:r>
      <w:r w:rsidR="0017767B" w:rsidRPr="00872429">
        <w:rPr>
          <w:rFonts w:ascii="Arial" w:hAnsi="Arial" w:cs="Arial"/>
          <w:szCs w:val="22"/>
        </w:rPr>
        <w:t>c</w:t>
      </w:r>
      <w:r w:rsidRPr="00872429">
        <w:rPr>
          <w:rFonts w:ascii="Arial" w:hAnsi="Arial" w:cs="Arial"/>
          <w:szCs w:val="22"/>
        </w:rPr>
        <w:t>omprometeu</w:t>
      </w:r>
      <w:r w:rsidR="00A46AB0" w:rsidRPr="00872429">
        <w:rPr>
          <w:rFonts w:ascii="Arial" w:hAnsi="Arial" w:cs="Arial"/>
          <w:szCs w:val="22"/>
        </w:rPr>
        <w:t xml:space="preserve"> parcialmente o estudo, pois</w:t>
      </w:r>
      <w:r w:rsidRPr="00872429">
        <w:rPr>
          <w:rFonts w:ascii="Arial" w:hAnsi="Arial" w:cs="Arial"/>
          <w:szCs w:val="22"/>
        </w:rPr>
        <w:t xml:space="preserve"> deixou sem resposta precisa </w:t>
      </w:r>
      <w:proofErr w:type="gramStart"/>
      <w:r w:rsidRPr="00872429">
        <w:rPr>
          <w:rFonts w:ascii="Arial" w:hAnsi="Arial" w:cs="Arial"/>
          <w:szCs w:val="22"/>
        </w:rPr>
        <w:t>a</w:t>
      </w:r>
      <w:proofErr w:type="gramEnd"/>
      <w:r w:rsidRPr="00872429">
        <w:rPr>
          <w:rFonts w:ascii="Arial" w:hAnsi="Arial" w:cs="Arial"/>
          <w:szCs w:val="22"/>
        </w:rPr>
        <w:t xml:space="preserve"> pergunta se o registro de IFA seria capaz de levar ao aumento da produção local desses produtos</w:t>
      </w:r>
      <w:r w:rsidR="00A46AB0" w:rsidRPr="00872429">
        <w:rPr>
          <w:rFonts w:ascii="Arial" w:hAnsi="Arial" w:cs="Arial"/>
          <w:szCs w:val="22"/>
        </w:rPr>
        <w:t>,</w:t>
      </w:r>
      <w:r w:rsidRPr="00872429">
        <w:rPr>
          <w:rFonts w:ascii="Arial" w:hAnsi="Arial" w:cs="Arial"/>
          <w:szCs w:val="22"/>
        </w:rPr>
        <w:t xml:space="preserve"> pela substituição das importações. Além do parâmetro tempo, </w:t>
      </w:r>
      <w:r w:rsidR="001469E0" w:rsidRPr="00872429">
        <w:rPr>
          <w:rFonts w:ascii="Arial" w:hAnsi="Arial" w:cs="Arial"/>
          <w:szCs w:val="22"/>
        </w:rPr>
        <w:t xml:space="preserve">a restrição do </w:t>
      </w:r>
      <w:r w:rsidRPr="00872429">
        <w:rPr>
          <w:rFonts w:ascii="Arial" w:hAnsi="Arial" w:cs="Arial"/>
          <w:szCs w:val="22"/>
        </w:rPr>
        <w:t xml:space="preserve">levantamento para 10 dos 20 </w:t>
      </w:r>
      <w:proofErr w:type="spellStart"/>
      <w:r w:rsidRPr="00872429">
        <w:rPr>
          <w:rFonts w:ascii="Arial" w:hAnsi="Arial" w:cs="Arial"/>
          <w:szCs w:val="22"/>
        </w:rPr>
        <w:t>IFAs</w:t>
      </w:r>
      <w:proofErr w:type="spellEnd"/>
      <w:r w:rsidR="001469E0" w:rsidRPr="00872429">
        <w:rPr>
          <w:rFonts w:ascii="Arial" w:hAnsi="Arial" w:cs="Arial"/>
          <w:szCs w:val="22"/>
        </w:rPr>
        <w:t xml:space="preserve"> também comprometeu a análise</w:t>
      </w:r>
      <w:r w:rsidRPr="00872429">
        <w:rPr>
          <w:rFonts w:ascii="Arial" w:hAnsi="Arial" w:cs="Arial"/>
          <w:szCs w:val="22"/>
        </w:rPr>
        <w:t xml:space="preserve">. </w:t>
      </w:r>
    </w:p>
    <w:p w:rsidR="00E30CBF" w:rsidRPr="00872429" w:rsidRDefault="00E30CBF" w:rsidP="00E30CBF">
      <w:pPr>
        <w:pStyle w:val="Corpodetexto"/>
        <w:rPr>
          <w:rFonts w:ascii="Arial" w:hAnsi="Arial" w:cs="Arial"/>
          <w:szCs w:val="22"/>
        </w:rPr>
      </w:pPr>
      <w:r w:rsidRPr="00872429">
        <w:rPr>
          <w:rFonts w:ascii="Arial" w:hAnsi="Arial" w:cs="Arial"/>
          <w:szCs w:val="22"/>
        </w:rPr>
        <w:t xml:space="preserve">Outro ponto que impactou no resultado da pesquisa foi o reduzido universo de produtos a serem registrados. De uma estimativa de 1.000 fármacos consumidos no mercado brasileiro, apenas 20 foram indicados como prioritários para a primeira fase de registro. </w:t>
      </w:r>
      <w:r w:rsidR="00867318" w:rsidRPr="00872429">
        <w:rPr>
          <w:rFonts w:ascii="Arial" w:hAnsi="Arial" w:cs="Arial"/>
          <w:szCs w:val="22"/>
        </w:rPr>
        <w:t>Em junho de 2013 foi publicada a IN n°3</w:t>
      </w:r>
      <w:r w:rsidR="00B77457" w:rsidRPr="00872429">
        <w:rPr>
          <w:rFonts w:ascii="Arial" w:hAnsi="Arial" w:cs="Arial"/>
          <w:szCs w:val="22"/>
        </w:rPr>
        <w:t>(</w:t>
      </w:r>
      <w:r w:rsidR="00066075" w:rsidRPr="00872429">
        <w:rPr>
          <w:rFonts w:ascii="Arial" w:hAnsi="Arial" w:cs="Arial"/>
          <w:szCs w:val="22"/>
        </w:rPr>
        <w:t>Agência Nacional de Vigilância Sanitária</w:t>
      </w:r>
      <w:r w:rsidR="00B77457" w:rsidRPr="00872429">
        <w:rPr>
          <w:rFonts w:ascii="Arial" w:hAnsi="Arial" w:cs="Arial"/>
          <w:szCs w:val="22"/>
        </w:rPr>
        <w:t>, 2013)</w:t>
      </w:r>
      <w:r w:rsidR="00062722" w:rsidRPr="00872429">
        <w:rPr>
          <w:rFonts w:ascii="Arial" w:hAnsi="Arial" w:cs="Arial"/>
          <w:szCs w:val="22"/>
          <w:vertAlign w:val="superscript"/>
        </w:rPr>
        <w:t>2</w:t>
      </w:r>
      <w:r w:rsidR="00A9245C">
        <w:rPr>
          <w:rFonts w:ascii="Arial" w:hAnsi="Arial" w:cs="Arial"/>
          <w:szCs w:val="22"/>
          <w:vertAlign w:val="superscript"/>
        </w:rPr>
        <w:t>8</w:t>
      </w:r>
      <w:r w:rsidR="00B77457" w:rsidRPr="00872429">
        <w:rPr>
          <w:rFonts w:ascii="Arial" w:hAnsi="Arial" w:cs="Arial"/>
          <w:szCs w:val="22"/>
        </w:rPr>
        <w:t xml:space="preserve"> </w:t>
      </w:r>
      <w:r w:rsidR="00E006B3" w:rsidRPr="00872429">
        <w:rPr>
          <w:rFonts w:ascii="Arial" w:hAnsi="Arial" w:cs="Arial"/>
          <w:szCs w:val="22"/>
        </w:rPr>
        <w:t xml:space="preserve">que definiu uma nova listagem de </w:t>
      </w:r>
      <w:proofErr w:type="spellStart"/>
      <w:r w:rsidR="00E006B3" w:rsidRPr="00872429">
        <w:rPr>
          <w:rFonts w:ascii="Arial" w:hAnsi="Arial" w:cs="Arial"/>
          <w:szCs w:val="22"/>
        </w:rPr>
        <w:t>IFAs</w:t>
      </w:r>
      <w:proofErr w:type="spellEnd"/>
      <w:r w:rsidR="00E006B3" w:rsidRPr="00872429">
        <w:rPr>
          <w:rFonts w:ascii="Arial" w:hAnsi="Arial" w:cs="Arial"/>
          <w:szCs w:val="22"/>
        </w:rPr>
        <w:t xml:space="preserve"> a serem registrados, desta vez contendo</w:t>
      </w:r>
      <w:r w:rsidR="002064A9">
        <w:rPr>
          <w:rFonts w:ascii="Arial" w:hAnsi="Arial" w:cs="Arial"/>
          <w:szCs w:val="22"/>
        </w:rPr>
        <w:t xml:space="preserve"> </w:t>
      </w:r>
      <w:r w:rsidR="00E006B3" w:rsidRPr="00872429">
        <w:rPr>
          <w:rFonts w:ascii="Arial" w:hAnsi="Arial" w:cs="Arial"/>
          <w:szCs w:val="22"/>
        </w:rPr>
        <w:t xml:space="preserve">10 produtos e seus sais. No entanto, esta nova publicação </w:t>
      </w:r>
      <w:r w:rsidR="005771BC" w:rsidRPr="00872429">
        <w:rPr>
          <w:rFonts w:ascii="Arial" w:hAnsi="Arial" w:cs="Arial"/>
          <w:szCs w:val="22"/>
        </w:rPr>
        <w:t>está longe de</w:t>
      </w:r>
      <w:r w:rsidR="00A07897" w:rsidRPr="00872429">
        <w:rPr>
          <w:rFonts w:ascii="Arial" w:hAnsi="Arial" w:cs="Arial"/>
          <w:szCs w:val="22"/>
        </w:rPr>
        <w:t xml:space="preserve"> atende</w:t>
      </w:r>
      <w:r w:rsidR="005771BC" w:rsidRPr="00872429">
        <w:rPr>
          <w:rFonts w:ascii="Arial" w:hAnsi="Arial" w:cs="Arial"/>
          <w:szCs w:val="22"/>
        </w:rPr>
        <w:t>r</w:t>
      </w:r>
      <w:r w:rsidR="00A07897" w:rsidRPr="00872429">
        <w:rPr>
          <w:rFonts w:ascii="Arial" w:hAnsi="Arial" w:cs="Arial"/>
          <w:szCs w:val="22"/>
        </w:rPr>
        <w:t xml:space="preserve"> as expectativas do setor farmoquímico brasileiro que aguarda por uma listagem com maior número de </w:t>
      </w:r>
      <w:proofErr w:type="spellStart"/>
      <w:proofErr w:type="gramStart"/>
      <w:r w:rsidR="00A07897" w:rsidRPr="00872429">
        <w:rPr>
          <w:rFonts w:ascii="Arial" w:hAnsi="Arial" w:cs="Arial"/>
          <w:szCs w:val="22"/>
        </w:rPr>
        <w:t>IFAs</w:t>
      </w:r>
      <w:proofErr w:type="spellEnd"/>
      <w:proofErr w:type="gramEnd"/>
    </w:p>
    <w:p w:rsidR="00E30CBF" w:rsidRPr="00872429" w:rsidRDefault="00B00552" w:rsidP="00E30CBF">
      <w:pPr>
        <w:pStyle w:val="Corpodetexto"/>
        <w:rPr>
          <w:rFonts w:ascii="Arial" w:hAnsi="Arial" w:cs="Arial"/>
          <w:color w:val="FF0000"/>
          <w:szCs w:val="22"/>
        </w:rPr>
      </w:pPr>
      <w:r w:rsidRPr="00872429">
        <w:rPr>
          <w:rFonts w:ascii="Arial" w:hAnsi="Arial" w:cs="Arial"/>
          <w:szCs w:val="22"/>
        </w:rPr>
        <w:t>A</w:t>
      </w:r>
      <w:r w:rsidR="00E30CBF" w:rsidRPr="00872429">
        <w:rPr>
          <w:rFonts w:ascii="Arial" w:hAnsi="Arial" w:cs="Arial"/>
          <w:szCs w:val="22"/>
        </w:rPr>
        <w:t xml:space="preserve"> despeito </w:t>
      </w:r>
      <w:r w:rsidR="00700405" w:rsidRPr="00872429">
        <w:rPr>
          <w:rFonts w:ascii="Arial" w:hAnsi="Arial" w:cs="Arial"/>
          <w:szCs w:val="22"/>
        </w:rPr>
        <w:t>de algumas dificuldades encontradas no levantamento dos dados dos produtos cadastrados na ANVISA e no curto tempo de análise</w:t>
      </w:r>
      <w:r w:rsidR="00E30CBF" w:rsidRPr="00872429">
        <w:rPr>
          <w:rFonts w:ascii="Arial" w:hAnsi="Arial" w:cs="Arial"/>
          <w:szCs w:val="22"/>
        </w:rPr>
        <w:t>, é possível concluir que o registro de fármacos</w:t>
      </w:r>
      <w:r w:rsidR="00ED0FCF" w:rsidRPr="00872429">
        <w:rPr>
          <w:rFonts w:ascii="Arial" w:hAnsi="Arial" w:cs="Arial"/>
          <w:szCs w:val="22"/>
        </w:rPr>
        <w:t xml:space="preserve"> </w:t>
      </w:r>
      <w:r w:rsidR="00E30CBF" w:rsidRPr="00872429">
        <w:rPr>
          <w:rFonts w:ascii="Arial" w:hAnsi="Arial" w:cs="Arial"/>
          <w:szCs w:val="22"/>
        </w:rPr>
        <w:t xml:space="preserve">deverá promover a isonomia regulatória entre os </w:t>
      </w:r>
      <w:proofErr w:type="spellStart"/>
      <w:r w:rsidR="00E30CBF" w:rsidRPr="00872429">
        <w:rPr>
          <w:rFonts w:ascii="Arial" w:hAnsi="Arial" w:cs="Arial"/>
          <w:szCs w:val="22"/>
        </w:rPr>
        <w:t>IFAs</w:t>
      </w:r>
      <w:proofErr w:type="spellEnd"/>
      <w:r w:rsidR="00E30CBF" w:rsidRPr="00872429">
        <w:rPr>
          <w:rFonts w:ascii="Arial" w:hAnsi="Arial" w:cs="Arial"/>
          <w:szCs w:val="22"/>
        </w:rPr>
        <w:t xml:space="preserve"> fabricados localmente e aqueles importados. Por outro lado, em função de todas as considerações acima apresentadas, não é possível confirmar, no momento, se essa isonomia assumirá </w:t>
      </w:r>
      <w:r w:rsidR="00E30CBF" w:rsidRPr="00872429">
        <w:rPr>
          <w:rFonts w:ascii="Arial" w:hAnsi="Arial" w:cs="Arial"/>
          <w:szCs w:val="22"/>
        </w:rPr>
        <w:lastRenderedPageBreak/>
        <w:t xml:space="preserve">alguma efetividade para a retomada da produção local de </w:t>
      </w:r>
      <w:proofErr w:type="spellStart"/>
      <w:r w:rsidR="00E30CBF" w:rsidRPr="00872429">
        <w:rPr>
          <w:rFonts w:ascii="Arial" w:hAnsi="Arial" w:cs="Arial"/>
          <w:szCs w:val="22"/>
        </w:rPr>
        <w:t>IFAs</w:t>
      </w:r>
      <w:proofErr w:type="spellEnd"/>
      <w:r w:rsidR="00E30CBF" w:rsidRPr="00872429">
        <w:rPr>
          <w:rFonts w:ascii="Arial" w:hAnsi="Arial" w:cs="Arial"/>
          <w:szCs w:val="22"/>
        </w:rPr>
        <w:t xml:space="preserve"> no Brasil, diminuindo a dependência externa do país e melhorando, consequentemente, o saldo da balança comercial do setor. Porém</w:t>
      </w:r>
      <w:r w:rsidRPr="00872429">
        <w:rPr>
          <w:rFonts w:ascii="Arial" w:hAnsi="Arial" w:cs="Arial"/>
          <w:szCs w:val="22"/>
        </w:rPr>
        <w:t>,</w:t>
      </w:r>
      <w:r w:rsidR="00E30CBF" w:rsidRPr="00872429">
        <w:rPr>
          <w:rFonts w:ascii="Arial" w:hAnsi="Arial" w:cs="Arial"/>
          <w:szCs w:val="22"/>
        </w:rPr>
        <w:t xml:space="preserve"> será importante instrumento para as políticas que forem definidas para o setor. </w:t>
      </w:r>
    </w:p>
    <w:p w:rsidR="00145C7A" w:rsidRDefault="00E30CBF" w:rsidP="003C686C">
      <w:pPr>
        <w:rPr>
          <w:rFonts w:ascii="Arial" w:hAnsi="Arial" w:cs="Arial"/>
          <w:sz w:val="24"/>
        </w:rPr>
      </w:pPr>
      <w:r w:rsidRPr="00872429">
        <w:rPr>
          <w:rFonts w:ascii="Arial" w:hAnsi="Arial" w:cs="Arial"/>
          <w:sz w:val="24"/>
        </w:rPr>
        <w:t xml:space="preserve">Acredita-se que o presente estudo possa ter contribuído para demonstrar a efetividade da obrigatoriedade do registro de </w:t>
      </w:r>
      <w:proofErr w:type="spellStart"/>
      <w:r w:rsidR="001469E0" w:rsidRPr="00872429">
        <w:rPr>
          <w:rFonts w:ascii="Arial" w:hAnsi="Arial" w:cs="Arial"/>
          <w:sz w:val="24"/>
        </w:rPr>
        <w:t>IFAs</w:t>
      </w:r>
      <w:proofErr w:type="spellEnd"/>
      <w:r w:rsidRPr="00872429">
        <w:rPr>
          <w:rFonts w:ascii="Arial" w:hAnsi="Arial" w:cs="Arial"/>
          <w:sz w:val="24"/>
        </w:rPr>
        <w:t xml:space="preserve"> na isonomia regulatória e sinalizar para o fato de que esta ação, conjugada com outras que estão sendo </w:t>
      </w:r>
      <w:proofErr w:type="gramStart"/>
      <w:r w:rsidRPr="00872429">
        <w:rPr>
          <w:rFonts w:ascii="Arial" w:hAnsi="Arial" w:cs="Arial"/>
          <w:sz w:val="24"/>
        </w:rPr>
        <w:t>implementadas</w:t>
      </w:r>
      <w:proofErr w:type="gramEnd"/>
      <w:r w:rsidRPr="00872429">
        <w:rPr>
          <w:rFonts w:ascii="Arial" w:hAnsi="Arial" w:cs="Arial"/>
          <w:sz w:val="24"/>
        </w:rPr>
        <w:t xml:space="preserve"> pelo governo (especialmente as PDPs), possa resultar na redução das importações de fármacos pelo Brasil, levando à retomada da produção local desses produtos</w:t>
      </w:r>
      <w:r w:rsidR="00A85E1D" w:rsidRPr="00872429">
        <w:rPr>
          <w:rFonts w:ascii="Arial" w:hAnsi="Arial" w:cs="Arial"/>
          <w:sz w:val="24"/>
        </w:rPr>
        <w:t xml:space="preserve">, além de contribuir para assegurar a qualidade dos </w:t>
      </w:r>
      <w:proofErr w:type="spellStart"/>
      <w:r w:rsidR="00A85E1D" w:rsidRPr="00872429">
        <w:rPr>
          <w:rFonts w:ascii="Arial" w:hAnsi="Arial" w:cs="Arial"/>
          <w:sz w:val="24"/>
        </w:rPr>
        <w:t>IFAs</w:t>
      </w:r>
      <w:proofErr w:type="spellEnd"/>
      <w:r w:rsidR="00ED0FCF" w:rsidRPr="00872429">
        <w:rPr>
          <w:rFonts w:ascii="Arial" w:hAnsi="Arial" w:cs="Arial"/>
          <w:sz w:val="24"/>
        </w:rPr>
        <w:t xml:space="preserve"> </w:t>
      </w:r>
      <w:r w:rsidR="00C0345D" w:rsidRPr="00872429">
        <w:rPr>
          <w:rFonts w:ascii="Arial" w:hAnsi="Arial" w:cs="Arial"/>
          <w:sz w:val="24"/>
        </w:rPr>
        <w:t xml:space="preserve">consumidos </w:t>
      </w:r>
      <w:r w:rsidR="00A85E1D" w:rsidRPr="00872429">
        <w:rPr>
          <w:rFonts w:ascii="Arial" w:hAnsi="Arial" w:cs="Arial"/>
          <w:sz w:val="24"/>
        </w:rPr>
        <w:t xml:space="preserve">no </w:t>
      </w:r>
      <w:r w:rsidR="00B00552" w:rsidRPr="00872429">
        <w:rPr>
          <w:rFonts w:ascii="Arial" w:hAnsi="Arial" w:cs="Arial"/>
          <w:sz w:val="24"/>
        </w:rPr>
        <w:t>país</w:t>
      </w:r>
      <w:r w:rsidRPr="00872429">
        <w:rPr>
          <w:rFonts w:ascii="Arial" w:hAnsi="Arial" w:cs="Arial"/>
          <w:sz w:val="24"/>
        </w:rPr>
        <w:t xml:space="preserve">. </w:t>
      </w:r>
    </w:p>
    <w:p w:rsidR="003C686C" w:rsidRPr="003C686C" w:rsidRDefault="003C686C" w:rsidP="003C686C">
      <w:pPr>
        <w:rPr>
          <w:rFonts w:ascii="Arial" w:hAnsi="Arial" w:cs="Arial"/>
          <w:color w:val="FF0000"/>
          <w:sz w:val="24"/>
        </w:rPr>
      </w:pPr>
    </w:p>
    <w:p w:rsidR="00066075" w:rsidRPr="00872429" w:rsidRDefault="00066075" w:rsidP="00145C7A">
      <w:pPr>
        <w:pStyle w:val="Corpodetexto"/>
        <w:rPr>
          <w:rFonts w:ascii="Arial" w:hAnsi="Arial" w:cs="Arial"/>
          <w:b/>
          <w:color w:val="FF0000"/>
          <w:szCs w:val="24"/>
        </w:rPr>
      </w:pPr>
    </w:p>
    <w:p w:rsidR="00387F84" w:rsidRPr="00872429" w:rsidRDefault="00E30CBF" w:rsidP="001215CF">
      <w:pPr>
        <w:pStyle w:val="Corpodetexto"/>
        <w:spacing w:line="240" w:lineRule="auto"/>
        <w:ind w:firstLine="0"/>
        <w:rPr>
          <w:rFonts w:ascii="Arial" w:hAnsi="Arial" w:cs="Arial"/>
          <w:b/>
          <w:szCs w:val="24"/>
        </w:rPr>
      </w:pPr>
      <w:r w:rsidRPr="00872429">
        <w:rPr>
          <w:rFonts w:ascii="Arial" w:hAnsi="Arial" w:cs="Arial"/>
          <w:b/>
          <w:szCs w:val="24"/>
        </w:rPr>
        <w:t>Referências</w:t>
      </w:r>
      <w:r w:rsidR="001215CF" w:rsidRPr="00872429">
        <w:rPr>
          <w:rFonts w:ascii="Arial" w:hAnsi="Arial" w:cs="Arial"/>
          <w:b/>
          <w:szCs w:val="24"/>
        </w:rPr>
        <w:t xml:space="preserve"> Bibliográficas</w:t>
      </w:r>
    </w:p>
    <w:p w:rsidR="001215CF" w:rsidRPr="00872429" w:rsidRDefault="001215CF" w:rsidP="001215CF">
      <w:pPr>
        <w:pStyle w:val="Corpodetexto"/>
        <w:spacing w:line="480" w:lineRule="auto"/>
        <w:ind w:firstLine="0"/>
        <w:rPr>
          <w:rFonts w:ascii="Arial" w:hAnsi="Arial" w:cs="Arial"/>
          <w:szCs w:val="24"/>
        </w:rPr>
      </w:pPr>
    </w:p>
    <w:p w:rsidR="003D7F66" w:rsidRPr="00872429" w:rsidRDefault="003D7F66" w:rsidP="003D7F66">
      <w:pPr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1. Gonçalves GF. Mercado Farmacêutico. </w:t>
      </w:r>
      <w:proofErr w:type="spellStart"/>
      <w:proofErr w:type="gram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>In:</w:t>
      </w:r>
      <w:proofErr w:type="gramEnd"/>
      <w:r w:rsidRPr="00872429">
        <w:rPr>
          <w:rFonts w:ascii="Arial" w:eastAsia="Times New Roman" w:hAnsi="Arial" w:cs="Arial"/>
          <w:sz w:val="24"/>
          <w:szCs w:val="24"/>
          <w:lang w:eastAsia="pt-BR"/>
        </w:rPr>
        <w:t>Análise</w:t>
      </w:r>
      <w:proofErr w:type="spellEnd"/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das estratégias competitivas da indústria farmacêutica brasileira segundo a tipologia de </w:t>
      </w:r>
      <w:proofErr w:type="spell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>Chrisman</w:t>
      </w:r>
      <w:proofErr w:type="spellEnd"/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. Dissertação de Mestrado apresentada à PUC. Rio de Janeiro, 2006, p. 46-56 [acesso em </w:t>
      </w:r>
      <w:proofErr w:type="gram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22 </w:t>
      </w:r>
      <w:proofErr w:type="spell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>abr</w:t>
      </w:r>
      <w:proofErr w:type="spellEnd"/>
      <w:proofErr w:type="gramEnd"/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2011]. Disponível em:  </w:t>
      </w:r>
      <w:hyperlink r:id="rId15" w:history="1">
        <w:r w:rsidRPr="0087242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http://www2.dbd.puc-rio.br/pergamum/tesesabertas/0310773_06_pretextual.pdf</w:t>
        </w:r>
      </w:hyperlink>
    </w:p>
    <w:p w:rsidR="003D7F66" w:rsidRPr="00872429" w:rsidRDefault="003D7F66" w:rsidP="00066075">
      <w:pPr>
        <w:spacing w:line="480" w:lineRule="auto"/>
        <w:ind w:firstLine="0"/>
        <w:rPr>
          <w:rFonts w:ascii="Arial" w:hAnsi="Arial" w:cs="Arial"/>
          <w:sz w:val="24"/>
          <w:szCs w:val="24"/>
        </w:rPr>
      </w:pPr>
    </w:p>
    <w:p w:rsidR="00B072D7" w:rsidRPr="00872429" w:rsidRDefault="00B072D7" w:rsidP="003D7F66">
      <w:pPr>
        <w:ind w:firstLine="0"/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 xml:space="preserve">2. Brasil. </w:t>
      </w:r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Lei n°. 9.279, de 14 de maio, de 1996. </w:t>
      </w:r>
      <w:proofErr w:type="gram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>Regula direitos</w:t>
      </w:r>
      <w:proofErr w:type="gramEnd"/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e obrigações relativos à propriedade intelectual. Diário Oficial da União 15 maio 1996 [acesso em 21 de maio 2001]. Disponível em: </w:t>
      </w:r>
      <w:hyperlink r:id="rId16" w:history="1">
        <w:r w:rsidRPr="0087242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http://www.planalto.gov.br/ccivil_03/leis/l9279.htm</w:t>
        </w:r>
      </w:hyperlink>
    </w:p>
    <w:p w:rsidR="00B072D7" w:rsidRPr="00872429" w:rsidRDefault="00B072D7" w:rsidP="00066075">
      <w:pPr>
        <w:spacing w:line="480" w:lineRule="auto"/>
        <w:ind w:firstLine="0"/>
        <w:rPr>
          <w:rFonts w:ascii="Arial" w:hAnsi="Arial" w:cs="Arial"/>
          <w:sz w:val="24"/>
          <w:szCs w:val="24"/>
        </w:rPr>
      </w:pPr>
    </w:p>
    <w:p w:rsidR="00010BB2" w:rsidRPr="00872429" w:rsidRDefault="00010BB2" w:rsidP="00010BB2">
      <w:pPr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872429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0D0C14" w:rsidRPr="00872429">
        <w:rPr>
          <w:rFonts w:ascii="Arial" w:eastAsia="Times New Roman" w:hAnsi="Arial" w:cs="Arial"/>
          <w:sz w:val="24"/>
          <w:szCs w:val="24"/>
          <w:lang w:eastAsia="pt-BR"/>
        </w:rPr>
        <w:t>-4</w:t>
      </w:r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. Queiroz SRR, Gonzáles, AJV. Mudanças recentes na estrutura produtiva da indústria farmacêutica. In: Negri B, Di Giovani G. (Org.). Brasil: radiografia da saúde. Campinas: Instituto de Economia/Universidade Estadual de Campinas (IE/Unicamp); 2001. </w:t>
      </w:r>
      <w:proofErr w:type="gram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>p.</w:t>
      </w:r>
      <w:proofErr w:type="gramEnd"/>
      <w:r w:rsidRPr="00872429">
        <w:rPr>
          <w:rFonts w:ascii="Arial" w:eastAsia="Times New Roman" w:hAnsi="Arial" w:cs="Arial"/>
          <w:sz w:val="24"/>
          <w:szCs w:val="24"/>
          <w:lang w:eastAsia="pt-BR"/>
        </w:rPr>
        <w:t>123-155.</w:t>
      </w:r>
    </w:p>
    <w:p w:rsidR="00010BB2" w:rsidRPr="00872429" w:rsidRDefault="00010BB2" w:rsidP="00066075">
      <w:pPr>
        <w:spacing w:line="480" w:lineRule="auto"/>
        <w:ind w:firstLine="0"/>
        <w:rPr>
          <w:rFonts w:ascii="Arial" w:hAnsi="Arial" w:cs="Arial"/>
          <w:sz w:val="24"/>
          <w:szCs w:val="24"/>
        </w:rPr>
      </w:pPr>
    </w:p>
    <w:p w:rsidR="00F2011E" w:rsidRPr="00872429" w:rsidRDefault="002064A9" w:rsidP="003D7F66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5,8</w:t>
      </w:r>
      <w:r w:rsidR="00F2011E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. Gadelha CAG, coordenador. Perspectivas do investimento em saúde. Rio de Janeiro: UFRJ, Instituto de Economia, 2008/2009. 217 p. </w:t>
      </w:r>
      <w:proofErr w:type="spellStart"/>
      <w:proofErr w:type="gramStart"/>
      <w:r w:rsidR="00F2011E" w:rsidRPr="00872429">
        <w:rPr>
          <w:rFonts w:ascii="Arial" w:eastAsia="Times New Roman" w:hAnsi="Arial" w:cs="Arial"/>
          <w:sz w:val="24"/>
          <w:szCs w:val="24"/>
          <w:lang w:eastAsia="pt-BR"/>
        </w:rPr>
        <w:t>In:</w:t>
      </w:r>
      <w:proofErr w:type="gramEnd"/>
      <w:r w:rsidR="00F2011E" w:rsidRPr="00872429">
        <w:rPr>
          <w:rFonts w:ascii="Arial" w:eastAsia="Times New Roman" w:hAnsi="Arial" w:cs="Arial"/>
          <w:sz w:val="24"/>
          <w:szCs w:val="24"/>
          <w:lang w:eastAsia="pt-BR"/>
        </w:rPr>
        <w:t>Perspectivas</w:t>
      </w:r>
      <w:proofErr w:type="spellEnd"/>
      <w:r w:rsidR="00F2011E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do investimento no Brasil, em parceria com o Instituto de Economia da Unicamp, financiada pelo </w:t>
      </w:r>
      <w:proofErr w:type="spellStart"/>
      <w:r w:rsidR="00F2011E" w:rsidRPr="00872429">
        <w:rPr>
          <w:rFonts w:ascii="Arial" w:eastAsia="Times New Roman" w:hAnsi="Arial" w:cs="Arial"/>
          <w:sz w:val="24"/>
          <w:szCs w:val="24"/>
          <w:lang w:eastAsia="pt-BR"/>
        </w:rPr>
        <w:t>Bndes</w:t>
      </w:r>
      <w:proofErr w:type="spellEnd"/>
      <w:r w:rsidR="00F2011E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[acesso em 10 out 2009]. Disponível em: </w:t>
      </w:r>
      <w:hyperlink r:id="rId17" w:history="1">
        <w:r w:rsidR="00F2011E" w:rsidRPr="0087242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http://www.projetopib.org/?p=documentos</w:t>
        </w:r>
      </w:hyperlink>
    </w:p>
    <w:p w:rsidR="00F2011E" w:rsidRPr="00872429" w:rsidRDefault="00F2011E" w:rsidP="00066075">
      <w:pPr>
        <w:spacing w:line="480" w:lineRule="auto"/>
        <w:ind w:firstLine="0"/>
        <w:rPr>
          <w:rFonts w:ascii="Arial" w:hAnsi="Arial" w:cs="Arial"/>
          <w:sz w:val="24"/>
          <w:szCs w:val="24"/>
        </w:rPr>
      </w:pPr>
    </w:p>
    <w:p w:rsidR="00F2011E" w:rsidRPr="00872429" w:rsidRDefault="002064A9" w:rsidP="003D7F66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6</w:t>
      </w:r>
      <w:r w:rsidR="00F2011E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. Associação Brasileira da Indústria Farmoquímica e de Insumos Farmacêuticos </w:t>
      </w:r>
      <w:r w:rsidR="00F2011E" w:rsidRPr="00872429">
        <w:rPr>
          <w:rFonts w:ascii="Arial" w:hAnsi="Arial" w:cs="Arial"/>
          <w:sz w:val="24"/>
          <w:szCs w:val="24"/>
        </w:rPr>
        <w:t>[homepage na internet]</w:t>
      </w:r>
      <w:r w:rsidR="00F2011E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2011E" w:rsidRPr="00872429">
        <w:rPr>
          <w:rFonts w:ascii="Arial" w:hAnsi="Arial" w:cs="Arial"/>
          <w:sz w:val="24"/>
          <w:szCs w:val="24"/>
        </w:rPr>
        <w:t xml:space="preserve">[acesso em </w:t>
      </w:r>
      <w:proofErr w:type="gramStart"/>
      <w:r w:rsidR="00F2011E" w:rsidRPr="00872429">
        <w:rPr>
          <w:rFonts w:ascii="Arial" w:hAnsi="Arial" w:cs="Arial"/>
          <w:sz w:val="24"/>
          <w:szCs w:val="24"/>
        </w:rPr>
        <w:t xml:space="preserve">30 </w:t>
      </w:r>
      <w:proofErr w:type="spellStart"/>
      <w:r w:rsidR="00F2011E" w:rsidRPr="00872429">
        <w:rPr>
          <w:rFonts w:ascii="Arial" w:hAnsi="Arial" w:cs="Arial"/>
          <w:sz w:val="24"/>
          <w:szCs w:val="24"/>
        </w:rPr>
        <w:t>jan</w:t>
      </w:r>
      <w:proofErr w:type="spellEnd"/>
      <w:proofErr w:type="gramEnd"/>
      <w:r w:rsidR="00F2011E" w:rsidRPr="00872429">
        <w:rPr>
          <w:rFonts w:ascii="Arial" w:hAnsi="Arial" w:cs="Arial"/>
          <w:sz w:val="24"/>
          <w:szCs w:val="24"/>
        </w:rPr>
        <w:t xml:space="preserve"> 2012]. Disponível em: </w:t>
      </w:r>
      <w:hyperlink r:id="rId18" w:history="1">
        <w:r w:rsidR="00781673" w:rsidRPr="00872429">
          <w:rPr>
            <w:rStyle w:val="Hyperlink"/>
            <w:rFonts w:ascii="Arial" w:hAnsi="Arial" w:cs="Arial"/>
            <w:sz w:val="24"/>
            <w:szCs w:val="24"/>
          </w:rPr>
          <w:t>http://www.abiquifi.org.br</w:t>
        </w:r>
      </w:hyperlink>
    </w:p>
    <w:p w:rsidR="00F2011E" w:rsidRPr="00872429" w:rsidRDefault="00F2011E" w:rsidP="00066075">
      <w:pPr>
        <w:spacing w:line="480" w:lineRule="auto"/>
        <w:ind w:firstLine="0"/>
        <w:rPr>
          <w:rFonts w:ascii="Arial" w:hAnsi="Arial" w:cs="Arial"/>
          <w:sz w:val="24"/>
          <w:szCs w:val="24"/>
        </w:rPr>
      </w:pPr>
    </w:p>
    <w:p w:rsidR="00F2011E" w:rsidRPr="00872429" w:rsidRDefault="002064A9" w:rsidP="003D7F66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="00F2011E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. Brasil. Ministério do Desenvolvimento, Indústria e Comércio Exterior. Secretaria do Desenvolvimento de Produção. Sistema Alice [base de dados] [acesso em </w:t>
      </w:r>
      <w:proofErr w:type="gramStart"/>
      <w:r w:rsidR="00F2011E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22 </w:t>
      </w:r>
      <w:proofErr w:type="spellStart"/>
      <w:r w:rsidR="00F2011E" w:rsidRPr="00872429">
        <w:rPr>
          <w:rFonts w:ascii="Arial" w:eastAsia="Times New Roman" w:hAnsi="Arial" w:cs="Arial"/>
          <w:sz w:val="24"/>
          <w:szCs w:val="24"/>
          <w:lang w:eastAsia="pt-BR"/>
        </w:rPr>
        <w:t>fev</w:t>
      </w:r>
      <w:proofErr w:type="spellEnd"/>
      <w:proofErr w:type="gramEnd"/>
      <w:r w:rsidR="00F2011E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2013]. Disponível em: </w:t>
      </w:r>
      <w:hyperlink r:id="rId19" w:history="1">
        <w:r w:rsidR="00F2011E" w:rsidRPr="0087242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http://aliceweb2.mdic.gov.br</w:t>
        </w:r>
      </w:hyperlink>
    </w:p>
    <w:p w:rsidR="00F2011E" w:rsidRPr="00872429" w:rsidRDefault="00F2011E" w:rsidP="00133A24">
      <w:pPr>
        <w:spacing w:line="480" w:lineRule="auto"/>
        <w:ind w:firstLine="0"/>
        <w:rPr>
          <w:rFonts w:ascii="Arial" w:hAnsi="Arial" w:cs="Arial"/>
          <w:sz w:val="24"/>
          <w:szCs w:val="24"/>
        </w:rPr>
      </w:pPr>
    </w:p>
    <w:p w:rsidR="00133A24" w:rsidRPr="00872429" w:rsidRDefault="002064A9" w:rsidP="003D7F66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133A24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. Associação Brasileira das Indústrias de Química Fina, Biotecnologia e suas Especialidades [homepage na internet]. Revista Facto, n°. 25, </w:t>
      </w:r>
      <w:proofErr w:type="spellStart"/>
      <w:r w:rsidR="00133A24" w:rsidRPr="00872429">
        <w:rPr>
          <w:rFonts w:ascii="Arial" w:eastAsia="Times New Roman" w:hAnsi="Arial" w:cs="Arial"/>
          <w:sz w:val="24"/>
          <w:szCs w:val="24"/>
          <w:lang w:eastAsia="pt-BR"/>
        </w:rPr>
        <w:t>jul</w:t>
      </w:r>
      <w:proofErr w:type="spellEnd"/>
      <w:r w:rsidR="00133A24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2010. Editorial: com eleições, a restauração de um projeto nacional [acesso em </w:t>
      </w:r>
      <w:proofErr w:type="gramStart"/>
      <w:r w:rsidR="00133A24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28 </w:t>
      </w:r>
      <w:proofErr w:type="spellStart"/>
      <w:r w:rsidR="00133A24" w:rsidRPr="00872429">
        <w:rPr>
          <w:rFonts w:ascii="Arial" w:eastAsia="Times New Roman" w:hAnsi="Arial" w:cs="Arial"/>
          <w:sz w:val="24"/>
          <w:szCs w:val="24"/>
          <w:lang w:eastAsia="pt-BR"/>
        </w:rPr>
        <w:t>ago</w:t>
      </w:r>
      <w:proofErr w:type="spellEnd"/>
      <w:proofErr w:type="gramEnd"/>
      <w:r w:rsidR="00133A24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2010]. Disponível em: </w:t>
      </w:r>
      <w:hyperlink r:id="rId20" w:history="1">
        <w:r w:rsidR="00133A24" w:rsidRPr="0087242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http://www.abifina.org.br/factoNoticia.asp?cod=380</w:t>
        </w:r>
      </w:hyperlink>
    </w:p>
    <w:p w:rsidR="00133A24" w:rsidRPr="00872429" w:rsidRDefault="00133A24" w:rsidP="00066075">
      <w:pPr>
        <w:spacing w:line="480" w:lineRule="auto"/>
        <w:ind w:firstLine="0"/>
        <w:rPr>
          <w:rFonts w:ascii="Arial" w:hAnsi="Arial" w:cs="Arial"/>
          <w:sz w:val="24"/>
          <w:szCs w:val="24"/>
        </w:rPr>
      </w:pPr>
    </w:p>
    <w:p w:rsidR="002064A9" w:rsidRDefault="002064A9" w:rsidP="003D7F66">
      <w:pPr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10</w:t>
      </w:r>
      <w:r w:rsidRPr="00872429">
        <w:rPr>
          <w:rFonts w:ascii="Arial" w:hAnsi="Arial" w:cs="Arial"/>
          <w:sz w:val="24"/>
          <w:szCs w:val="24"/>
        </w:rPr>
        <w:t xml:space="preserve">. Agência Nacional de Vigilância Sanitária (Brasil). </w:t>
      </w:r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Resolução da Diretoria Colegiada n° 57, de 17 de novembro de 2009. Dispõe sobre o registro de insumos farmacêuticos ativos (IFA). Diário Oficial da União 18 </w:t>
      </w:r>
      <w:proofErr w:type="spell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>nov</w:t>
      </w:r>
      <w:proofErr w:type="spellEnd"/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>2009;</w:t>
      </w:r>
      <w:proofErr w:type="gramEnd"/>
      <w:r w:rsidRPr="00872429">
        <w:rPr>
          <w:rFonts w:ascii="Arial" w:eastAsia="Times New Roman" w:hAnsi="Arial" w:cs="Arial"/>
          <w:sz w:val="24"/>
          <w:szCs w:val="24"/>
          <w:lang w:eastAsia="pt-BR"/>
        </w:rPr>
        <w:t>Seção 1.</w:t>
      </w:r>
    </w:p>
    <w:p w:rsidR="002064A9" w:rsidRDefault="002064A9" w:rsidP="002064A9">
      <w:pPr>
        <w:spacing w:line="480" w:lineRule="auto"/>
        <w:ind w:firstLine="0"/>
        <w:rPr>
          <w:rFonts w:ascii="Arial" w:hAnsi="Arial" w:cs="Arial"/>
          <w:sz w:val="24"/>
          <w:szCs w:val="24"/>
        </w:rPr>
      </w:pPr>
    </w:p>
    <w:p w:rsidR="001E05D1" w:rsidRPr="00872429" w:rsidRDefault="00F46B21" w:rsidP="003D7F66">
      <w:pPr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872429">
        <w:rPr>
          <w:rFonts w:ascii="Arial" w:hAnsi="Arial" w:cs="Arial"/>
          <w:sz w:val="24"/>
          <w:szCs w:val="24"/>
        </w:rPr>
        <w:t xml:space="preserve">11. </w:t>
      </w:r>
      <w:r w:rsidR="003A2AB6" w:rsidRPr="00872429">
        <w:rPr>
          <w:rFonts w:ascii="Arial" w:hAnsi="Arial" w:cs="Arial"/>
          <w:sz w:val="24"/>
          <w:szCs w:val="24"/>
        </w:rPr>
        <w:t xml:space="preserve">Agência Nacional de Vigilância Sanitária (Brasil). </w:t>
      </w:r>
      <w:r w:rsidR="001E05D1" w:rsidRPr="00872429">
        <w:rPr>
          <w:rFonts w:ascii="Arial" w:eastAsia="Times New Roman" w:hAnsi="Arial" w:cs="Arial"/>
          <w:sz w:val="24"/>
          <w:szCs w:val="24"/>
          <w:lang w:eastAsia="pt-BR"/>
        </w:rPr>
        <w:t>Resolução da Diretoria Colegiada n°</w:t>
      </w:r>
      <w:r w:rsidR="003A2AB6" w:rsidRPr="0087242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1E05D1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249, de 13 de setembro de 2005. Determina a todos os estabelecimentos fabricantes de produtos intermediários e de insumos farmacêuticos ativos, o cumprimento das diretrizes estabelecidas no Regulamento Técnico das Boas Práticas de Fabricação de Produtos Intermediários e Insumos Farmacêuticos Ativos. Diário Oficial da União</w:t>
      </w:r>
      <w:r w:rsidR="007E08AA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26 set</w:t>
      </w:r>
      <w:r w:rsidR="001E05D1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1E05D1" w:rsidRPr="00872429">
        <w:rPr>
          <w:rFonts w:ascii="Arial" w:eastAsia="Times New Roman" w:hAnsi="Arial" w:cs="Arial"/>
          <w:sz w:val="24"/>
          <w:szCs w:val="24"/>
          <w:lang w:eastAsia="pt-BR"/>
        </w:rPr>
        <w:t>2005</w:t>
      </w:r>
      <w:r w:rsidR="003A2AB6" w:rsidRPr="00872429">
        <w:rPr>
          <w:rFonts w:ascii="Arial" w:eastAsia="Times New Roman" w:hAnsi="Arial" w:cs="Arial"/>
          <w:sz w:val="24"/>
          <w:szCs w:val="24"/>
          <w:lang w:eastAsia="pt-BR"/>
        </w:rPr>
        <w:t>;</w:t>
      </w:r>
      <w:proofErr w:type="gramEnd"/>
      <w:r w:rsidR="003A2AB6" w:rsidRPr="00872429">
        <w:rPr>
          <w:rFonts w:ascii="Arial" w:eastAsia="Times New Roman" w:hAnsi="Arial" w:cs="Arial"/>
          <w:sz w:val="24"/>
          <w:szCs w:val="24"/>
          <w:lang w:eastAsia="pt-BR"/>
        </w:rPr>
        <w:t>Seção 1.</w:t>
      </w:r>
      <w:r w:rsidR="001E05D1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64163" w:rsidRPr="00872429" w:rsidRDefault="00D64163" w:rsidP="003D7F66">
      <w:pPr>
        <w:spacing w:line="48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F46B21" w:rsidRPr="00872429" w:rsidRDefault="00F46B21" w:rsidP="003D7F66">
      <w:pPr>
        <w:ind w:firstLine="0"/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>12</w:t>
      </w:r>
      <w:r w:rsidR="00A9245C">
        <w:rPr>
          <w:rFonts w:ascii="Arial" w:hAnsi="Arial" w:cs="Arial"/>
          <w:sz w:val="24"/>
          <w:szCs w:val="24"/>
        </w:rPr>
        <w:t>,25-26</w:t>
      </w:r>
      <w:r w:rsidRPr="00872429">
        <w:rPr>
          <w:rFonts w:ascii="Arial" w:hAnsi="Arial" w:cs="Arial"/>
          <w:sz w:val="24"/>
          <w:szCs w:val="24"/>
        </w:rPr>
        <w:t xml:space="preserve">. </w:t>
      </w:r>
      <w:r w:rsidR="000A1699" w:rsidRPr="00872429">
        <w:rPr>
          <w:rFonts w:ascii="Arial" w:hAnsi="Arial" w:cs="Arial"/>
          <w:sz w:val="24"/>
          <w:szCs w:val="24"/>
        </w:rPr>
        <w:t>Agência Nacional de Vigilância Sanitária (Brasil)</w:t>
      </w:r>
      <w:r w:rsidRPr="00872429">
        <w:rPr>
          <w:rFonts w:ascii="Arial" w:hAnsi="Arial" w:cs="Arial"/>
          <w:sz w:val="24"/>
          <w:szCs w:val="24"/>
        </w:rPr>
        <w:t>.</w:t>
      </w:r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Instrução Normativa n° 15, de 17 de novembro de 2009. Dispõe sobre os prazos, o cronograma e as priorizações para a primeira etapa da implantação do registro de insumos farmacêuticos ativos (IFA), definido na Resolução da Diretoria Colegiada n° 57, de 17 de novembro de 2009. Diário Oficial da União 18 </w:t>
      </w:r>
      <w:proofErr w:type="spell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>nov</w:t>
      </w:r>
      <w:proofErr w:type="spellEnd"/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>2009;</w:t>
      </w:r>
      <w:proofErr w:type="gramEnd"/>
      <w:r w:rsidRPr="00872429">
        <w:rPr>
          <w:rFonts w:ascii="Arial" w:eastAsia="Times New Roman" w:hAnsi="Arial" w:cs="Arial"/>
          <w:sz w:val="24"/>
          <w:szCs w:val="24"/>
          <w:lang w:eastAsia="pt-BR"/>
        </w:rPr>
        <w:t>Seção 1.</w:t>
      </w:r>
    </w:p>
    <w:p w:rsidR="00F46B21" w:rsidRPr="00872429" w:rsidRDefault="00F46B21" w:rsidP="00520C95">
      <w:pPr>
        <w:spacing w:line="480" w:lineRule="auto"/>
        <w:ind w:firstLine="0"/>
        <w:rPr>
          <w:rFonts w:ascii="Arial" w:hAnsi="Arial" w:cs="Arial"/>
          <w:sz w:val="24"/>
          <w:szCs w:val="24"/>
        </w:rPr>
      </w:pPr>
    </w:p>
    <w:p w:rsidR="00520C95" w:rsidRPr="00872429" w:rsidRDefault="00520C95" w:rsidP="003D7F66">
      <w:pPr>
        <w:ind w:firstLine="0"/>
        <w:rPr>
          <w:rFonts w:ascii="Arial" w:hAnsi="Arial" w:cs="Arial"/>
          <w:sz w:val="24"/>
          <w:szCs w:val="24"/>
        </w:rPr>
      </w:pPr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13. </w:t>
      </w:r>
      <w:proofErr w:type="spell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>Food</w:t>
      </w:r>
      <w:proofErr w:type="spellEnd"/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>and</w:t>
      </w:r>
      <w:proofErr w:type="spellEnd"/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>Drug</w:t>
      </w:r>
      <w:proofErr w:type="spellEnd"/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>Administration</w:t>
      </w:r>
      <w:proofErr w:type="spellEnd"/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[homepage na internet]. Guia de registro de drogas [acesso em </w:t>
      </w:r>
      <w:proofErr w:type="gram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15 </w:t>
      </w:r>
      <w:proofErr w:type="spell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>jan</w:t>
      </w:r>
      <w:proofErr w:type="spellEnd"/>
      <w:proofErr w:type="gramEnd"/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2012]. Disponível em: </w:t>
      </w:r>
      <w:hyperlink r:id="rId21" w:history="1">
        <w:r w:rsidRPr="0087242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http://www.fda.gov/Drugs/GuidanceComplianceRegulatoryInformation/DrugRegistrationandListing/default.htm</w:t>
        </w:r>
      </w:hyperlink>
    </w:p>
    <w:p w:rsidR="00520C95" w:rsidRPr="00872429" w:rsidRDefault="00520C95" w:rsidP="00326AE1">
      <w:pPr>
        <w:spacing w:line="480" w:lineRule="auto"/>
        <w:ind w:firstLine="0"/>
        <w:rPr>
          <w:rFonts w:ascii="Arial" w:hAnsi="Arial" w:cs="Arial"/>
          <w:sz w:val="24"/>
          <w:szCs w:val="24"/>
        </w:rPr>
      </w:pPr>
    </w:p>
    <w:p w:rsidR="00326AE1" w:rsidRPr="00872429" w:rsidRDefault="00326AE1" w:rsidP="003D7F66">
      <w:pPr>
        <w:ind w:firstLine="0"/>
        <w:rPr>
          <w:rFonts w:ascii="Arial" w:hAnsi="Arial" w:cs="Arial"/>
          <w:sz w:val="24"/>
          <w:szCs w:val="24"/>
        </w:rPr>
      </w:pPr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14. </w:t>
      </w:r>
      <w:proofErr w:type="spell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>European</w:t>
      </w:r>
      <w:proofErr w:type="spellEnd"/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Medicines </w:t>
      </w:r>
      <w:proofErr w:type="spell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>Agency</w:t>
      </w:r>
      <w:proofErr w:type="spellEnd"/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[homepage na internet]. Guias e procedimentos para registros: produtos farmacêuticos [acesso em </w:t>
      </w:r>
      <w:proofErr w:type="gram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21 </w:t>
      </w:r>
      <w:proofErr w:type="spell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>fev</w:t>
      </w:r>
      <w:proofErr w:type="spellEnd"/>
      <w:proofErr w:type="gramEnd"/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2012]. Disponível em: </w:t>
      </w:r>
      <w:hyperlink r:id="rId22" w:history="1">
        <w:r w:rsidRPr="0087242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http://www.ema.europa.eu/ema/index.jsp?curl=pages/regulation/general/general_content_000316.jsp&amp;mid=WC0b01ac05800a4902</w:t>
        </w:r>
      </w:hyperlink>
    </w:p>
    <w:p w:rsidR="00326AE1" w:rsidRPr="00872429" w:rsidRDefault="00326AE1" w:rsidP="00326AE1">
      <w:pPr>
        <w:spacing w:line="480" w:lineRule="auto"/>
        <w:ind w:firstLine="0"/>
        <w:rPr>
          <w:rFonts w:ascii="Arial" w:hAnsi="Arial" w:cs="Arial"/>
          <w:sz w:val="24"/>
          <w:szCs w:val="24"/>
        </w:rPr>
      </w:pPr>
    </w:p>
    <w:p w:rsidR="00326AE1" w:rsidRPr="00872429" w:rsidRDefault="00326AE1" w:rsidP="00326AE1">
      <w:pPr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15. Associação Brasileira da Indústria Farmoquímica e de Insumos Farmacêuticos. Estatísticas [acesso em </w:t>
      </w:r>
      <w:proofErr w:type="gram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12 </w:t>
      </w:r>
      <w:proofErr w:type="spell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>abr</w:t>
      </w:r>
      <w:proofErr w:type="spellEnd"/>
      <w:proofErr w:type="gramEnd"/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2013]. Disponível em: </w:t>
      </w:r>
      <w:hyperlink r:id="rId23" w:anchor="4" w:history="1">
        <w:r w:rsidRPr="0087242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http://www.abiquifi.org.br/mercado_estatisticas.html#4</w:t>
        </w:r>
      </w:hyperlink>
    </w:p>
    <w:p w:rsidR="00326AE1" w:rsidRPr="00872429" w:rsidRDefault="00326AE1" w:rsidP="00936318">
      <w:pPr>
        <w:spacing w:line="480" w:lineRule="auto"/>
        <w:ind w:firstLine="0"/>
        <w:rPr>
          <w:rFonts w:ascii="Arial" w:hAnsi="Arial" w:cs="Arial"/>
          <w:sz w:val="24"/>
          <w:szCs w:val="24"/>
        </w:rPr>
      </w:pPr>
    </w:p>
    <w:p w:rsidR="00936318" w:rsidRPr="00872429" w:rsidRDefault="00936318" w:rsidP="00936318">
      <w:pPr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872429">
        <w:rPr>
          <w:rFonts w:ascii="Arial" w:eastAsia="Times New Roman" w:hAnsi="Arial" w:cs="Arial"/>
          <w:sz w:val="24"/>
          <w:szCs w:val="24"/>
          <w:lang w:val="en-US" w:eastAsia="pt-BR"/>
        </w:rPr>
        <w:t xml:space="preserve">16. Directory of World Chemical Producers [homepage </w:t>
      </w:r>
      <w:proofErr w:type="spellStart"/>
      <w:proofErr w:type="gramStart"/>
      <w:r w:rsidRPr="00872429">
        <w:rPr>
          <w:rFonts w:ascii="Arial" w:eastAsia="Times New Roman" w:hAnsi="Arial" w:cs="Arial"/>
          <w:sz w:val="24"/>
          <w:szCs w:val="24"/>
          <w:lang w:val="en-US" w:eastAsia="pt-BR"/>
        </w:rPr>
        <w:t>na</w:t>
      </w:r>
      <w:proofErr w:type="spellEnd"/>
      <w:proofErr w:type="gramEnd"/>
      <w:r w:rsidRPr="00872429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internet]. </w:t>
      </w:r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Base de dados de produtores mundiais de produtos químicos [acesso em </w:t>
      </w:r>
      <w:proofErr w:type="gram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24 </w:t>
      </w:r>
      <w:proofErr w:type="spell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>jan</w:t>
      </w:r>
      <w:proofErr w:type="spellEnd"/>
      <w:proofErr w:type="gramEnd"/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2012]. Disponível em: </w:t>
      </w:r>
      <w:hyperlink r:id="rId24" w:history="1">
        <w:r w:rsidRPr="0087242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http://chemicalinfo.com/database-products/dwcp/</w:t>
        </w:r>
      </w:hyperlink>
    </w:p>
    <w:p w:rsidR="00936318" w:rsidRPr="00872429" w:rsidRDefault="00936318" w:rsidP="00936318">
      <w:pPr>
        <w:spacing w:line="48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936318" w:rsidRPr="00872429" w:rsidRDefault="00936318" w:rsidP="00936318">
      <w:pPr>
        <w:ind w:firstLine="0"/>
        <w:rPr>
          <w:rFonts w:ascii="Arial" w:hAnsi="Arial" w:cs="Arial"/>
          <w:sz w:val="24"/>
          <w:szCs w:val="24"/>
        </w:rPr>
      </w:pPr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17. Brasil. Decreto n°. 1.355, de 30 de dezembro de 1994. Promulga a ata final que incorpora os resultados da Rodada Uruguai de Negociações Multilaterais do GATT – acordo sobre aspectos dos direitos de propriedade intelectual relacionados ao comércio. Diário Oficial da União 31 dez 1994 [acesso em </w:t>
      </w:r>
      <w:proofErr w:type="gram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13 </w:t>
      </w:r>
      <w:proofErr w:type="spellStart"/>
      <w:r w:rsidRPr="00872429">
        <w:rPr>
          <w:rFonts w:ascii="Arial" w:eastAsia="Times New Roman" w:hAnsi="Arial" w:cs="Arial"/>
          <w:sz w:val="24"/>
          <w:szCs w:val="24"/>
          <w:lang w:eastAsia="pt-BR"/>
        </w:rPr>
        <w:t>jan</w:t>
      </w:r>
      <w:proofErr w:type="spellEnd"/>
      <w:proofErr w:type="gramEnd"/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2000]. Disponível em: </w:t>
      </w:r>
      <w:hyperlink r:id="rId25" w:history="1">
        <w:r w:rsidRPr="0087242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http://www.legislacao.planalto.gov.br/legisla/legislacao.nsf/Viw_Identificacao/dec%201.355-1994?OpenDocument</w:t>
        </w:r>
      </w:hyperlink>
    </w:p>
    <w:p w:rsidR="00936318" w:rsidRPr="00872429" w:rsidRDefault="00936318" w:rsidP="00936318">
      <w:pPr>
        <w:spacing w:line="480" w:lineRule="auto"/>
        <w:ind w:firstLine="0"/>
        <w:rPr>
          <w:rFonts w:ascii="Arial" w:hAnsi="Arial" w:cs="Arial"/>
          <w:sz w:val="24"/>
          <w:szCs w:val="24"/>
        </w:rPr>
      </w:pPr>
    </w:p>
    <w:p w:rsidR="00205B1F" w:rsidRPr="00872429" w:rsidRDefault="00205B1F" w:rsidP="00205B1F">
      <w:pPr>
        <w:ind w:firstLine="0"/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 xml:space="preserve">18. Instituto Nacional da Propriedade Industrial [homepage na internet]. Serviços. Buscas/Pesquisas: patentes [acesso em </w:t>
      </w:r>
      <w:proofErr w:type="gramStart"/>
      <w:r w:rsidRPr="00872429">
        <w:rPr>
          <w:rFonts w:ascii="Arial" w:hAnsi="Arial" w:cs="Arial"/>
          <w:sz w:val="24"/>
          <w:szCs w:val="24"/>
        </w:rPr>
        <w:t>23 set 2012</w:t>
      </w:r>
      <w:proofErr w:type="gramEnd"/>
      <w:r w:rsidRPr="00872429">
        <w:rPr>
          <w:rFonts w:ascii="Arial" w:hAnsi="Arial" w:cs="Arial"/>
          <w:sz w:val="24"/>
          <w:szCs w:val="24"/>
        </w:rPr>
        <w:t xml:space="preserve">]. Disponível em: </w:t>
      </w:r>
      <w:hyperlink r:id="rId26" w:history="1">
        <w:r w:rsidRPr="00872429">
          <w:rPr>
            <w:rStyle w:val="Hyperlink"/>
            <w:rFonts w:ascii="Arial" w:hAnsi="Arial" w:cs="Arial"/>
            <w:sz w:val="24"/>
            <w:szCs w:val="24"/>
          </w:rPr>
          <w:t>http://formulario.inpi.gov.br/MarcaPatente/jsp/servimg/servimg.jsp?BasePesquisa=Patente</w:t>
        </w:r>
      </w:hyperlink>
    </w:p>
    <w:p w:rsidR="00205B1F" w:rsidRPr="00872429" w:rsidRDefault="00205B1F" w:rsidP="00205B1F">
      <w:pPr>
        <w:spacing w:line="480" w:lineRule="auto"/>
        <w:ind w:firstLine="0"/>
        <w:rPr>
          <w:rFonts w:ascii="Arial" w:hAnsi="Arial" w:cs="Arial"/>
          <w:sz w:val="24"/>
          <w:szCs w:val="24"/>
        </w:rPr>
      </w:pPr>
    </w:p>
    <w:p w:rsidR="00205B1F" w:rsidRPr="00872429" w:rsidRDefault="00205B1F" w:rsidP="003D7F66">
      <w:pPr>
        <w:ind w:firstLine="0"/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>19</w:t>
      </w:r>
      <w:r w:rsidR="007D3524" w:rsidRPr="00872429">
        <w:rPr>
          <w:rFonts w:ascii="Arial" w:hAnsi="Arial" w:cs="Arial"/>
          <w:sz w:val="24"/>
          <w:szCs w:val="24"/>
        </w:rPr>
        <w:t>, 23</w:t>
      </w:r>
      <w:r w:rsidRPr="00872429">
        <w:rPr>
          <w:rFonts w:ascii="Arial" w:hAnsi="Arial" w:cs="Arial"/>
          <w:sz w:val="24"/>
          <w:szCs w:val="24"/>
        </w:rPr>
        <w:t xml:space="preserve">. </w:t>
      </w:r>
      <w:r w:rsidR="000A1699" w:rsidRPr="00872429">
        <w:rPr>
          <w:rFonts w:ascii="Arial" w:hAnsi="Arial" w:cs="Arial"/>
          <w:sz w:val="24"/>
          <w:szCs w:val="24"/>
        </w:rPr>
        <w:t xml:space="preserve">Agência Nacional de Vigilância Sanitária </w:t>
      </w:r>
      <w:r w:rsidRPr="00872429">
        <w:rPr>
          <w:rFonts w:ascii="Arial" w:hAnsi="Arial" w:cs="Arial"/>
          <w:sz w:val="24"/>
          <w:szCs w:val="24"/>
        </w:rPr>
        <w:t xml:space="preserve">[homepage na internet]. Consulta a banco de dados: insumos farmacêuticos [acesso em </w:t>
      </w:r>
      <w:proofErr w:type="gramStart"/>
      <w:r w:rsidRPr="00872429">
        <w:rPr>
          <w:rFonts w:ascii="Arial" w:hAnsi="Arial" w:cs="Arial"/>
          <w:sz w:val="24"/>
          <w:szCs w:val="24"/>
        </w:rPr>
        <w:t xml:space="preserve">21 </w:t>
      </w:r>
      <w:proofErr w:type="spellStart"/>
      <w:r w:rsidRPr="00872429">
        <w:rPr>
          <w:rFonts w:ascii="Arial" w:hAnsi="Arial" w:cs="Arial"/>
          <w:sz w:val="24"/>
          <w:szCs w:val="24"/>
        </w:rPr>
        <w:t>jun</w:t>
      </w:r>
      <w:proofErr w:type="spellEnd"/>
      <w:proofErr w:type="gramEnd"/>
      <w:r w:rsidRPr="00872429">
        <w:rPr>
          <w:rFonts w:ascii="Arial" w:hAnsi="Arial" w:cs="Arial"/>
          <w:sz w:val="24"/>
          <w:szCs w:val="24"/>
        </w:rPr>
        <w:t xml:space="preserve"> 2012]. Disponível em: </w:t>
      </w:r>
      <w:hyperlink r:id="rId27" w:history="1">
        <w:r w:rsidRPr="00872429">
          <w:rPr>
            <w:rStyle w:val="Hyperlink"/>
            <w:rFonts w:ascii="Arial" w:hAnsi="Arial" w:cs="Arial"/>
            <w:sz w:val="24"/>
            <w:szCs w:val="24"/>
          </w:rPr>
          <w:t>http://portal.anvisa.gov.br/wps/portal/anvisa/anvisa/servico</w:t>
        </w:r>
      </w:hyperlink>
    </w:p>
    <w:p w:rsidR="00205B1F" w:rsidRPr="00872429" w:rsidRDefault="00205B1F" w:rsidP="00066075">
      <w:pPr>
        <w:spacing w:line="480" w:lineRule="auto"/>
        <w:ind w:firstLine="0"/>
        <w:rPr>
          <w:rFonts w:ascii="Arial" w:hAnsi="Arial" w:cs="Arial"/>
          <w:sz w:val="24"/>
          <w:szCs w:val="24"/>
        </w:rPr>
      </w:pPr>
    </w:p>
    <w:p w:rsidR="00136E8D" w:rsidRPr="00872429" w:rsidRDefault="00205B1F" w:rsidP="003D7F66">
      <w:pPr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872429">
        <w:rPr>
          <w:rFonts w:ascii="Arial" w:hAnsi="Arial" w:cs="Arial"/>
          <w:sz w:val="24"/>
          <w:szCs w:val="24"/>
        </w:rPr>
        <w:t xml:space="preserve">20. </w:t>
      </w:r>
      <w:r w:rsidR="000A1699" w:rsidRPr="00872429">
        <w:rPr>
          <w:rFonts w:ascii="Arial" w:hAnsi="Arial" w:cs="Arial"/>
          <w:sz w:val="24"/>
          <w:szCs w:val="24"/>
        </w:rPr>
        <w:t>Agência Nacional de Vigilância Sanitária (Brasil)</w:t>
      </w:r>
      <w:r w:rsidR="00136E8D" w:rsidRPr="00872429">
        <w:rPr>
          <w:rFonts w:ascii="Arial" w:hAnsi="Arial" w:cs="Arial"/>
          <w:sz w:val="24"/>
          <w:szCs w:val="24"/>
        </w:rPr>
        <w:t>.</w:t>
      </w:r>
      <w:r w:rsidR="00136E8D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Resolução da Diretoria Colegiada n° 30, de 15 de maio de 2008. Dispõe sobre a obrigatoriedade de todas as empresas estabelecidas no país, que exerçam as atividades de fabricar, importar, exportar, fracionar, armazenar, expedir e distribuir insumos farmacêuticos ativos, cadastrarem junto </w:t>
      </w:r>
      <w:r w:rsidR="00136E8D" w:rsidRPr="00872429">
        <w:rPr>
          <w:rFonts w:ascii="Arial" w:eastAsia="Times New Roman" w:hAnsi="Arial" w:cs="Arial"/>
          <w:sz w:val="24"/>
          <w:szCs w:val="24"/>
          <w:lang w:eastAsia="pt-BR"/>
        </w:rPr>
        <w:lastRenderedPageBreak/>
        <w:t>à ANVISA todos os insumos farmacêuticos ativos com os quais trabalham. Diário Oficial da União</w:t>
      </w:r>
      <w:r w:rsidR="008731BD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16 maio </w:t>
      </w:r>
      <w:proofErr w:type="gramStart"/>
      <w:r w:rsidR="008731BD" w:rsidRPr="00872429">
        <w:rPr>
          <w:rFonts w:ascii="Arial" w:eastAsia="Times New Roman" w:hAnsi="Arial" w:cs="Arial"/>
          <w:sz w:val="24"/>
          <w:szCs w:val="24"/>
          <w:lang w:eastAsia="pt-BR"/>
        </w:rPr>
        <w:t>2008;</w:t>
      </w:r>
      <w:proofErr w:type="gramEnd"/>
      <w:r w:rsidR="00136E8D" w:rsidRPr="00872429">
        <w:rPr>
          <w:rFonts w:ascii="Arial" w:eastAsia="Times New Roman" w:hAnsi="Arial" w:cs="Arial"/>
          <w:sz w:val="24"/>
          <w:szCs w:val="24"/>
          <w:lang w:eastAsia="pt-BR"/>
        </w:rPr>
        <w:t>Seção 1.</w:t>
      </w:r>
    </w:p>
    <w:p w:rsidR="001E05D1" w:rsidRPr="00872429" w:rsidRDefault="001E05D1" w:rsidP="003D7F66">
      <w:pPr>
        <w:spacing w:line="48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1673" w:rsidRPr="00872429" w:rsidRDefault="00781673" w:rsidP="00781673">
      <w:pPr>
        <w:ind w:firstLine="0"/>
        <w:rPr>
          <w:rFonts w:ascii="Arial" w:hAnsi="Arial" w:cs="Arial"/>
          <w:sz w:val="24"/>
          <w:szCs w:val="24"/>
        </w:rPr>
      </w:pPr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21. Associação Brasileira da Indústria Farmoquímica e de Insumos Farmacêuticos </w:t>
      </w:r>
      <w:r w:rsidRPr="00872429">
        <w:rPr>
          <w:rFonts w:ascii="Arial" w:hAnsi="Arial" w:cs="Arial"/>
          <w:sz w:val="24"/>
          <w:szCs w:val="24"/>
        </w:rPr>
        <w:t>[homepage na internet]</w:t>
      </w:r>
      <w:r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Pr="00872429">
        <w:rPr>
          <w:rFonts w:ascii="Arial" w:hAnsi="Arial" w:cs="Arial"/>
          <w:sz w:val="24"/>
          <w:szCs w:val="24"/>
        </w:rPr>
        <w:t xml:space="preserve">Index ABIQUIFI. Relação de produtores de </w:t>
      </w:r>
      <w:proofErr w:type="spellStart"/>
      <w:r w:rsidRPr="00872429">
        <w:rPr>
          <w:rFonts w:ascii="Arial" w:hAnsi="Arial" w:cs="Arial"/>
          <w:sz w:val="24"/>
          <w:szCs w:val="24"/>
        </w:rPr>
        <w:t>IFAs</w:t>
      </w:r>
      <w:proofErr w:type="spellEnd"/>
      <w:r w:rsidRPr="00872429">
        <w:rPr>
          <w:rFonts w:ascii="Arial" w:hAnsi="Arial" w:cs="Arial"/>
          <w:sz w:val="24"/>
          <w:szCs w:val="24"/>
        </w:rPr>
        <w:t xml:space="preserve"> no Brasil [acesso em </w:t>
      </w:r>
      <w:proofErr w:type="gramStart"/>
      <w:r w:rsidRPr="00872429">
        <w:rPr>
          <w:rFonts w:ascii="Arial" w:hAnsi="Arial" w:cs="Arial"/>
          <w:sz w:val="24"/>
          <w:szCs w:val="24"/>
        </w:rPr>
        <w:t xml:space="preserve">30 </w:t>
      </w:r>
      <w:proofErr w:type="spellStart"/>
      <w:r w:rsidRPr="00872429">
        <w:rPr>
          <w:rFonts w:ascii="Arial" w:hAnsi="Arial" w:cs="Arial"/>
          <w:sz w:val="24"/>
          <w:szCs w:val="24"/>
        </w:rPr>
        <w:t>jan</w:t>
      </w:r>
      <w:proofErr w:type="spellEnd"/>
      <w:proofErr w:type="gramEnd"/>
      <w:r w:rsidRPr="00872429">
        <w:rPr>
          <w:rFonts w:ascii="Arial" w:hAnsi="Arial" w:cs="Arial"/>
          <w:sz w:val="24"/>
          <w:szCs w:val="24"/>
        </w:rPr>
        <w:t xml:space="preserve"> 2012]. Disponível em: </w:t>
      </w:r>
      <w:hyperlink r:id="rId28" w:history="1">
        <w:r w:rsidRPr="00872429">
          <w:rPr>
            <w:rStyle w:val="Hyperlink"/>
            <w:rFonts w:ascii="Arial" w:hAnsi="Arial" w:cs="Arial"/>
            <w:sz w:val="24"/>
            <w:szCs w:val="24"/>
          </w:rPr>
          <w:t>http://www.abiquifi.org.br/publicacoes/Index_2013/index.html</w:t>
        </w:r>
      </w:hyperlink>
    </w:p>
    <w:p w:rsidR="00781673" w:rsidRPr="00872429" w:rsidRDefault="00781673" w:rsidP="003D7F66">
      <w:pPr>
        <w:spacing w:line="48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1673" w:rsidRPr="00872429" w:rsidRDefault="00781673" w:rsidP="00781673">
      <w:pPr>
        <w:ind w:firstLine="0"/>
        <w:rPr>
          <w:rFonts w:ascii="Arial" w:hAnsi="Arial" w:cs="Arial"/>
          <w:sz w:val="24"/>
          <w:szCs w:val="24"/>
        </w:rPr>
      </w:pPr>
      <w:r w:rsidRPr="00872429">
        <w:rPr>
          <w:rFonts w:ascii="Arial" w:hAnsi="Arial" w:cs="Arial"/>
          <w:sz w:val="24"/>
          <w:szCs w:val="24"/>
        </w:rPr>
        <w:t>22</w:t>
      </w:r>
      <w:r w:rsidR="00A206C0" w:rsidRPr="00872429">
        <w:rPr>
          <w:rFonts w:ascii="Arial" w:hAnsi="Arial" w:cs="Arial"/>
          <w:sz w:val="24"/>
          <w:szCs w:val="24"/>
        </w:rPr>
        <w:t>,24</w:t>
      </w:r>
      <w:r w:rsidRPr="00872429">
        <w:rPr>
          <w:rFonts w:ascii="Arial" w:hAnsi="Arial" w:cs="Arial"/>
          <w:sz w:val="24"/>
          <w:szCs w:val="24"/>
        </w:rPr>
        <w:t>. Agência Nacional de Vigilância Sanitária.</w:t>
      </w:r>
      <w:r w:rsidR="000A1699" w:rsidRPr="00872429">
        <w:rPr>
          <w:rFonts w:ascii="Arial" w:hAnsi="Arial" w:cs="Arial"/>
          <w:sz w:val="24"/>
          <w:szCs w:val="24"/>
        </w:rPr>
        <w:t xml:space="preserve"> </w:t>
      </w:r>
      <w:r w:rsidRPr="00872429">
        <w:rPr>
          <w:rFonts w:ascii="Arial" w:hAnsi="Arial" w:cs="Arial"/>
          <w:sz w:val="24"/>
          <w:szCs w:val="24"/>
        </w:rPr>
        <w:t xml:space="preserve">Consulta a banco de dados: medicamentos [acesso em </w:t>
      </w:r>
      <w:proofErr w:type="gramStart"/>
      <w:r w:rsidRPr="00872429">
        <w:rPr>
          <w:rFonts w:ascii="Arial" w:hAnsi="Arial" w:cs="Arial"/>
          <w:sz w:val="24"/>
          <w:szCs w:val="24"/>
        </w:rPr>
        <w:t xml:space="preserve">25 </w:t>
      </w:r>
      <w:proofErr w:type="spellStart"/>
      <w:r w:rsidRPr="00872429">
        <w:rPr>
          <w:rFonts w:ascii="Arial" w:hAnsi="Arial" w:cs="Arial"/>
          <w:sz w:val="24"/>
          <w:szCs w:val="24"/>
        </w:rPr>
        <w:t>jun</w:t>
      </w:r>
      <w:proofErr w:type="spellEnd"/>
      <w:proofErr w:type="gramEnd"/>
      <w:r w:rsidRPr="00872429">
        <w:rPr>
          <w:rFonts w:ascii="Arial" w:hAnsi="Arial" w:cs="Arial"/>
          <w:sz w:val="24"/>
          <w:szCs w:val="24"/>
        </w:rPr>
        <w:t xml:space="preserve"> 2012]. Disponível em: </w:t>
      </w:r>
      <w:hyperlink r:id="rId29" w:history="1">
        <w:r w:rsidRPr="00872429">
          <w:rPr>
            <w:rStyle w:val="Hyperlink"/>
            <w:rFonts w:ascii="Arial" w:hAnsi="Arial" w:cs="Arial"/>
            <w:sz w:val="24"/>
            <w:szCs w:val="24"/>
          </w:rPr>
          <w:t>http://www7.anvisa.gov.br/datavisa/consulta_produto/Medicamentos/frmConsultaMedicamentos.asp</w:t>
        </w:r>
      </w:hyperlink>
    </w:p>
    <w:p w:rsidR="00781673" w:rsidRPr="00872429" w:rsidRDefault="00781673" w:rsidP="000A1699">
      <w:pPr>
        <w:spacing w:line="480" w:lineRule="auto"/>
        <w:ind w:firstLine="0"/>
        <w:rPr>
          <w:rFonts w:ascii="Arial" w:hAnsi="Arial" w:cs="Arial"/>
          <w:sz w:val="24"/>
          <w:szCs w:val="24"/>
        </w:rPr>
      </w:pPr>
    </w:p>
    <w:p w:rsidR="00136E8D" w:rsidRPr="00872429" w:rsidRDefault="00A9245C" w:rsidP="003D7F66">
      <w:pPr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27</w:t>
      </w:r>
      <w:r w:rsidR="000A1699" w:rsidRPr="00872429">
        <w:rPr>
          <w:rFonts w:ascii="Arial" w:hAnsi="Arial" w:cs="Arial"/>
          <w:sz w:val="24"/>
          <w:szCs w:val="24"/>
        </w:rPr>
        <w:t>. Agência Nacional de Vigilância Sanitária (Brasil)</w:t>
      </w:r>
      <w:r w:rsidR="00136E8D" w:rsidRPr="00872429">
        <w:rPr>
          <w:rFonts w:ascii="Arial" w:hAnsi="Arial" w:cs="Arial"/>
          <w:sz w:val="24"/>
          <w:szCs w:val="24"/>
        </w:rPr>
        <w:t>.</w:t>
      </w:r>
      <w:r w:rsidR="00136E8D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Resolução da Diretoria Colegiada n° 29, de 10 de agosto de 2010. Dispõe sobre certificação de Boas Práticas de Fabricação para fabricantes internacionais de insumos farmacêuticos ativos. Diário Oficial da União</w:t>
      </w:r>
      <w:r w:rsidR="00664399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068E4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12 </w:t>
      </w:r>
      <w:proofErr w:type="spellStart"/>
      <w:r w:rsidR="00D068E4" w:rsidRPr="00872429">
        <w:rPr>
          <w:rFonts w:ascii="Arial" w:eastAsia="Times New Roman" w:hAnsi="Arial" w:cs="Arial"/>
          <w:sz w:val="24"/>
          <w:szCs w:val="24"/>
          <w:lang w:eastAsia="pt-BR"/>
        </w:rPr>
        <w:t>ago</w:t>
      </w:r>
      <w:proofErr w:type="spellEnd"/>
      <w:r w:rsidR="00136E8D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136E8D" w:rsidRPr="00872429">
        <w:rPr>
          <w:rFonts w:ascii="Arial" w:eastAsia="Times New Roman" w:hAnsi="Arial" w:cs="Arial"/>
          <w:sz w:val="24"/>
          <w:szCs w:val="24"/>
          <w:lang w:eastAsia="pt-BR"/>
        </w:rPr>
        <w:t>2010</w:t>
      </w:r>
      <w:r w:rsidR="00664399" w:rsidRPr="00872429">
        <w:rPr>
          <w:rFonts w:ascii="Arial" w:eastAsia="Times New Roman" w:hAnsi="Arial" w:cs="Arial"/>
          <w:sz w:val="24"/>
          <w:szCs w:val="24"/>
          <w:lang w:eastAsia="pt-BR"/>
        </w:rPr>
        <w:t>;</w:t>
      </w:r>
      <w:proofErr w:type="gramEnd"/>
      <w:r w:rsidR="00136E8D" w:rsidRPr="00872429">
        <w:rPr>
          <w:rFonts w:ascii="Arial" w:eastAsia="Times New Roman" w:hAnsi="Arial" w:cs="Arial"/>
          <w:sz w:val="24"/>
          <w:szCs w:val="24"/>
          <w:lang w:eastAsia="pt-BR"/>
        </w:rPr>
        <w:t>Seção.</w:t>
      </w:r>
    </w:p>
    <w:p w:rsidR="00136E8D" w:rsidRPr="00872429" w:rsidRDefault="00136E8D" w:rsidP="003D7F66">
      <w:pPr>
        <w:spacing w:line="48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8C0A08" w:rsidRPr="00A73E6C" w:rsidRDefault="00A9245C" w:rsidP="00A73E6C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</w:t>
      </w:r>
      <w:r w:rsidR="00066075" w:rsidRPr="00872429">
        <w:rPr>
          <w:rFonts w:ascii="Arial" w:hAnsi="Arial" w:cs="Arial"/>
          <w:sz w:val="24"/>
          <w:szCs w:val="24"/>
        </w:rPr>
        <w:t>. Agência Nacional de Vigilância Sanitária (Brasil)</w:t>
      </w:r>
      <w:r w:rsidR="00136E8D" w:rsidRPr="00872429">
        <w:rPr>
          <w:rFonts w:ascii="Arial" w:hAnsi="Arial" w:cs="Arial"/>
          <w:sz w:val="24"/>
          <w:szCs w:val="24"/>
        </w:rPr>
        <w:t>.</w:t>
      </w:r>
      <w:r w:rsidR="00136E8D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Instrução Normativa n° 3, de 2</w:t>
      </w:r>
      <w:r w:rsidR="000C0F2F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8 </w:t>
      </w:r>
      <w:r w:rsidR="00136E8D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0C0F2F" w:rsidRPr="00872429">
        <w:rPr>
          <w:rFonts w:ascii="Arial" w:eastAsia="Times New Roman" w:hAnsi="Arial" w:cs="Arial"/>
          <w:sz w:val="24"/>
          <w:szCs w:val="24"/>
          <w:lang w:eastAsia="pt-BR"/>
        </w:rPr>
        <w:t>junho de 2013</w:t>
      </w:r>
      <w:r w:rsidR="00136E8D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0C0F2F" w:rsidRPr="00872429">
        <w:rPr>
          <w:rFonts w:ascii="Arial" w:hAnsi="Arial" w:cs="Arial"/>
          <w:sz w:val="24"/>
          <w:szCs w:val="24"/>
        </w:rPr>
        <w:t>Dispõe sobre os prazos e o cronograma para a segunda etapa da implantação do registro de insumos farmacêuticos ativos (IFA), definido na Resolução da Diretoria Colegiada- RDC nº 57, de 17 de novembro de 2009, ao quais as empresas estabelecidas no país</w:t>
      </w:r>
      <w:r w:rsidR="00664399" w:rsidRPr="00872429">
        <w:rPr>
          <w:rFonts w:ascii="Arial" w:hAnsi="Arial" w:cs="Arial"/>
          <w:sz w:val="24"/>
          <w:szCs w:val="24"/>
        </w:rPr>
        <w:t xml:space="preserve"> </w:t>
      </w:r>
      <w:r w:rsidR="000C0F2F" w:rsidRPr="00872429">
        <w:rPr>
          <w:rFonts w:ascii="Arial" w:hAnsi="Arial" w:cs="Arial"/>
          <w:sz w:val="24"/>
          <w:szCs w:val="24"/>
        </w:rPr>
        <w:t>que exerçam as atividades de fabricar ou importar insumos farmacêuticos ativos e os</w:t>
      </w:r>
      <w:r w:rsidR="00664399" w:rsidRPr="00872429">
        <w:rPr>
          <w:rFonts w:ascii="Arial" w:hAnsi="Arial" w:cs="Arial"/>
          <w:sz w:val="24"/>
          <w:szCs w:val="24"/>
        </w:rPr>
        <w:t xml:space="preserve"> </w:t>
      </w:r>
      <w:r w:rsidR="000C0F2F" w:rsidRPr="00872429">
        <w:rPr>
          <w:rFonts w:ascii="Arial" w:hAnsi="Arial" w:cs="Arial"/>
          <w:sz w:val="24"/>
          <w:szCs w:val="24"/>
        </w:rPr>
        <w:t>medicamentos e seus intermediários que os contenham devem ajustar-se.</w:t>
      </w:r>
      <w:r w:rsidR="00066E5D" w:rsidRPr="00872429">
        <w:rPr>
          <w:rFonts w:ascii="Arial" w:hAnsi="Arial" w:cs="Arial"/>
          <w:sz w:val="24"/>
          <w:szCs w:val="24"/>
        </w:rPr>
        <w:t xml:space="preserve"> </w:t>
      </w:r>
      <w:r w:rsidR="00136E8D" w:rsidRPr="00872429">
        <w:rPr>
          <w:rFonts w:ascii="Arial" w:eastAsia="Times New Roman" w:hAnsi="Arial" w:cs="Arial"/>
          <w:sz w:val="24"/>
          <w:szCs w:val="24"/>
          <w:lang w:eastAsia="pt-BR"/>
        </w:rPr>
        <w:t>Diário Oficial da União</w:t>
      </w:r>
      <w:r w:rsidR="00664399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7E08AA" w:rsidRPr="00872429">
        <w:rPr>
          <w:rFonts w:ascii="Arial" w:eastAsia="Times New Roman" w:hAnsi="Arial" w:cs="Arial"/>
          <w:sz w:val="24"/>
          <w:szCs w:val="24"/>
          <w:lang w:eastAsia="pt-BR"/>
        </w:rPr>
        <w:t>1</w:t>
      </w:r>
      <w:proofErr w:type="gramEnd"/>
      <w:r w:rsidR="007E08AA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7E08AA" w:rsidRPr="00872429">
        <w:rPr>
          <w:rFonts w:ascii="Arial" w:eastAsia="Times New Roman" w:hAnsi="Arial" w:cs="Arial"/>
          <w:sz w:val="24"/>
          <w:szCs w:val="24"/>
          <w:lang w:eastAsia="pt-BR"/>
        </w:rPr>
        <w:t>jul</w:t>
      </w:r>
      <w:proofErr w:type="spellEnd"/>
      <w:r w:rsidR="000C0F2F" w:rsidRPr="00872429">
        <w:rPr>
          <w:rFonts w:ascii="Arial" w:eastAsia="Times New Roman" w:hAnsi="Arial" w:cs="Arial"/>
          <w:sz w:val="24"/>
          <w:szCs w:val="24"/>
          <w:lang w:eastAsia="pt-BR"/>
        </w:rPr>
        <w:t xml:space="preserve"> 2013</w:t>
      </w:r>
      <w:r w:rsidR="00664399" w:rsidRPr="00872429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136E8D" w:rsidRPr="00872429">
        <w:rPr>
          <w:rFonts w:ascii="Arial" w:eastAsia="Times New Roman" w:hAnsi="Arial" w:cs="Arial"/>
          <w:sz w:val="24"/>
          <w:szCs w:val="24"/>
          <w:lang w:eastAsia="pt-BR"/>
        </w:rPr>
        <w:t>Seção.</w:t>
      </w:r>
    </w:p>
    <w:sectPr w:rsidR="008C0A08" w:rsidRPr="00A73E6C" w:rsidSect="00A73E6C">
      <w:type w:val="continuous"/>
      <w:pgSz w:w="11906" w:h="16838"/>
      <w:pgMar w:top="1134" w:right="1134" w:bottom="1134" w:left="1134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55" w:rsidRDefault="00014E55" w:rsidP="00ED7392">
      <w:r>
        <w:separator/>
      </w:r>
    </w:p>
  </w:endnote>
  <w:endnote w:type="continuationSeparator" w:id="0">
    <w:p w:rsidR="00014E55" w:rsidRDefault="00014E55" w:rsidP="00ED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743" w:rsidRDefault="00014E5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200AF">
      <w:rPr>
        <w:noProof/>
      </w:rPr>
      <w:t>1</w:t>
    </w:r>
    <w:r>
      <w:rPr>
        <w:noProof/>
      </w:rPr>
      <w:fldChar w:fldCharType="end"/>
    </w:r>
  </w:p>
  <w:p w:rsidR="002C5743" w:rsidRDefault="002C5743" w:rsidP="00ED739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B1F" w:rsidRDefault="00014E5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200AF">
      <w:rPr>
        <w:noProof/>
      </w:rPr>
      <w:t>3</w:t>
    </w:r>
    <w:r>
      <w:rPr>
        <w:noProof/>
      </w:rPr>
      <w:fldChar w:fldCharType="end"/>
    </w:r>
  </w:p>
  <w:p w:rsidR="00205B1F" w:rsidRDefault="00205B1F" w:rsidP="00ED73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55" w:rsidRDefault="00014E55" w:rsidP="00ED7392">
      <w:r>
        <w:separator/>
      </w:r>
    </w:p>
  </w:footnote>
  <w:footnote w:type="continuationSeparator" w:id="0">
    <w:p w:rsidR="00014E55" w:rsidRDefault="00014E55" w:rsidP="00ED7392">
      <w:r>
        <w:continuationSeparator/>
      </w:r>
    </w:p>
  </w:footnote>
  <w:footnote w:id="1">
    <w:p w:rsidR="00205B1F" w:rsidRPr="00AE4B94" w:rsidRDefault="00205B1F" w:rsidP="00945CF9">
      <w:pPr>
        <w:pStyle w:val="Textodenotaderodap"/>
        <w:rPr>
          <w:b w:val="0"/>
          <w:sz w:val="16"/>
        </w:rPr>
      </w:pPr>
      <w:r>
        <w:rPr>
          <w:rStyle w:val="Refdenotaderodap"/>
        </w:rPr>
        <w:footnoteRef/>
      </w:r>
      <w:r>
        <w:t xml:space="preserve"> </w:t>
      </w:r>
      <w:r w:rsidRPr="00AE4B94">
        <w:rPr>
          <w:rFonts w:ascii="Arial" w:hAnsi="Arial" w:cs="Arial"/>
          <w:b w:val="0"/>
          <w:sz w:val="18"/>
          <w:szCs w:val="22"/>
        </w:rPr>
        <w:t>Associação Brasileira das Indústrias de Química Fina, Biotecnologia e suas Especialidades (</w:t>
      </w:r>
      <w:proofErr w:type="spellStart"/>
      <w:r w:rsidRPr="00AE4B94">
        <w:rPr>
          <w:rFonts w:ascii="Arial" w:hAnsi="Arial" w:cs="Arial"/>
          <w:b w:val="0"/>
          <w:sz w:val="18"/>
          <w:szCs w:val="22"/>
        </w:rPr>
        <w:t>Abifina</w:t>
      </w:r>
      <w:proofErr w:type="spellEnd"/>
      <w:r w:rsidRPr="00AE4B94">
        <w:rPr>
          <w:rFonts w:ascii="Arial" w:hAnsi="Arial" w:cs="Arial"/>
          <w:b w:val="0"/>
          <w:sz w:val="18"/>
          <w:szCs w:val="22"/>
        </w:rPr>
        <w:t xml:space="preserve">), Rio de Janeiro, RJ, Brasil. </w:t>
      </w:r>
      <w:hyperlink r:id="rId1" w:history="1">
        <w:r w:rsidRPr="00AE4B94">
          <w:rPr>
            <w:rStyle w:val="Hyperlink"/>
            <w:rFonts w:ascii="Arial" w:hAnsi="Arial" w:cs="Arial"/>
            <w:b w:val="0"/>
            <w:sz w:val="18"/>
          </w:rPr>
          <w:t>divabarrio@gmail.com</w:t>
        </w:r>
      </w:hyperlink>
    </w:p>
    <w:p w:rsidR="00205B1F" w:rsidRDefault="00205B1F">
      <w:pPr>
        <w:pStyle w:val="Textodenotaderodap"/>
      </w:pPr>
    </w:p>
  </w:footnote>
  <w:footnote w:id="2">
    <w:p w:rsidR="00070E34" w:rsidRDefault="00070E34" w:rsidP="00070E3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AE4B94">
        <w:rPr>
          <w:rFonts w:ascii="Arial" w:hAnsi="Arial" w:cs="Arial"/>
          <w:b w:val="0"/>
          <w:sz w:val="18"/>
          <w:szCs w:val="18"/>
        </w:rPr>
        <w:t xml:space="preserve">Instituto de Tecnologia em Fármacos (Farmanguinhos/Fiocruz), Rio de Janeiro, RJ, Brasil. </w:t>
      </w:r>
      <w:hyperlink r:id="rId2" w:history="1">
        <w:r w:rsidRPr="00AE4B94">
          <w:rPr>
            <w:rStyle w:val="Hyperlink"/>
            <w:rFonts w:ascii="Arial" w:hAnsi="Arial" w:cs="Arial"/>
            <w:b w:val="0"/>
            <w:sz w:val="18"/>
            <w:szCs w:val="18"/>
          </w:rPr>
          <w:t>dtabak@far.fiocruz.br</w:t>
        </w:r>
      </w:hyperlink>
    </w:p>
  </w:footnote>
  <w:footnote w:id="3">
    <w:p w:rsidR="00205B1F" w:rsidRDefault="00205B1F" w:rsidP="00945CF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AE4B94">
        <w:rPr>
          <w:rFonts w:ascii="Arial" w:hAnsi="Arial" w:cs="Arial"/>
          <w:b w:val="0"/>
          <w:sz w:val="18"/>
          <w:szCs w:val="22"/>
        </w:rPr>
        <w:t>Fundação Oswaldo Cruz (Fiocruz), Rio de Janeiro, RJ, Brasil.</w:t>
      </w:r>
      <w:r w:rsidRPr="00AE4B94">
        <w:rPr>
          <w:rFonts w:ascii="Arial" w:hAnsi="Arial" w:cs="Arial"/>
          <w:b w:val="0"/>
          <w:sz w:val="18"/>
        </w:rPr>
        <w:t xml:space="preserve"> </w:t>
      </w:r>
      <w:hyperlink r:id="rId3" w:history="1">
        <w:r w:rsidRPr="00AE4B94">
          <w:rPr>
            <w:rStyle w:val="Hyperlink"/>
            <w:rFonts w:ascii="Arial" w:hAnsi="Arial" w:cs="Arial"/>
            <w:b w:val="0"/>
            <w:sz w:val="18"/>
            <w:szCs w:val="22"/>
          </w:rPr>
          <w:t>jorgecosta@fiocruz.br</w:t>
        </w:r>
      </w:hyperlink>
    </w:p>
    <w:p w:rsidR="00205B1F" w:rsidRDefault="00205B1F">
      <w:pPr>
        <w:pStyle w:val="Textodenotaderodap"/>
      </w:pPr>
    </w:p>
  </w:footnote>
  <w:footnote w:id="4">
    <w:p w:rsidR="00E77E20" w:rsidRPr="00934934" w:rsidRDefault="00E77E20" w:rsidP="00E77E20">
      <w:pPr>
        <w:spacing w:line="240" w:lineRule="auto"/>
        <w:ind w:firstLine="0"/>
        <w:rPr>
          <w:rFonts w:ascii="Arial" w:eastAsia="Times New Roman" w:hAnsi="Arial" w:cs="Arial"/>
          <w:sz w:val="18"/>
          <w:lang w:eastAsia="pt-BR"/>
        </w:rPr>
      </w:pPr>
      <w:r w:rsidRPr="00A16102">
        <w:rPr>
          <w:rStyle w:val="Refdenotaderodap"/>
          <w:rFonts w:ascii="Arial" w:hAnsi="Arial" w:cs="Arial"/>
        </w:rPr>
        <w:footnoteRef/>
      </w:r>
      <w:r w:rsidRPr="00A16102">
        <w:rPr>
          <w:rFonts w:ascii="Arial" w:hAnsi="Arial" w:cs="Arial"/>
        </w:rPr>
        <w:t xml:space="preserve"> </w:t>
      </w:r>
      <w:r w:rsidRPr="00934934">
        <w:rPr>
          <w:rFonts w:ascii="Arial" w:hAnsi="Arial" w:cs="Arial"/>
          <w:sz w:val="18"/>
        </w:rPr>
        <w:t>Apresentação feita por Jean Daniel Peter - então presidente da Associação Brasileira das Indústrias de Química Fina, Biotecnologia e suas Especialidades (ABIFINA) - no X Encontro Nacional de Inovação Tecnológica (ENITEC), em São Paulo, em 25/05/2011.</w:t>
      </w:r>
    </w:p>
    <w:p w:rsidR="00E77E20" w:rsidRDefault="00E77E20" w:rsidP="00E77E20">
      <w:pPr>
        <w:pStyle w:val="Textodenotaderodap"/>
      </w:pPr>
    </w:p>
  </w:footnote>
  <w:footnote w:id="5">
    <w:p w:rsidR="00E77E20" w:rsidRPr="00934934" w:rsidRDefault="00E77E20" w:rsidP="00E77E20">
      <w:pPr>
        <w:spacing w:line="240" w:lineRule="auto"/>
        <w:ind w:firstLine="0"/>
        <w:rPr>
          <w:rFonts w:ascii="Arial" w:hAnsi="Arial" w:cs="Arial"/>
          <w:sz w:val="18"/>
          <w:szCs w:val="18"/>
          <w:vertAlign w:val="superscript"/>
        </w:rPr>
      </w:pPr>
      <w:r w:rsidRPr="00934934">
        <w:rPr>
          <w:rStyle w:val="Refdenotaderodap"/>
          <w:rFonts w:ascii="Arial" w:hAnsi="Arial" w:cs="Arial"/>
          <w:sz w:val="18"/>
          <w:szCs w:val="18"/>
        </w:rPr>
        <w:footnoteRef/>
      </w:r>
      <w:r w:rsidRPr="00934934">
        <w:rPr>
          <w:rFonts w:ascii="Arial" w:hAnsi="Arial" w:cs="Arial"/>
          <w:sz w:val="18"/>
          <w:szCs w:val="18"/>
        </w:rPr>
        <w:t xml:space="preserve"> Apresentação feita por Carlos Gadelha na 4ª. Reunião do Conselho de Competitividade do Complexo da Saúde, realizada em 11/04/2013.</w:t>
      </w:r>
    </w:p>
    <w:p w:rsidR="00E77E20" w:rsidRDefault="00E77E20" w:rsidP="00E77E20">
      <w:pPr>
        <w:pStyle w:val="Textodenotaderodap"/>
      </w:pPr>
    </w:p>
  </w:footnote>
  <w:footnote w:id="6">
    <w:p w:rsidR="00205B1F" w:rsidRDefault="00205B1F">
      <w:pPr>
        <w:pStyle w:val="Textodenotaderodap"/>
      </w:pPr>
      <w:r w:rsidRPr="00133A24">
        <w:rPr>
          <w:rStyle w:val="Refdenotaderodap"/>
          <w:rFonts w:ascii="Arial" w:hAnsi="Arial" w:cs="Arial"/>
          <w:sz w:val="18"/>
        </w:rPr>
        <w:footnoteRef/>
      </w:r>
      <w:r w:rsidRPr="00133A24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b w:val="0"/>
          <w:sz w:val="18"/>
          <w:szCs w:val="18"/>
        </w:rPr>
        <w:t>I</w:t>
      </w:r>
      <w:r w:rsidRPr="00934934">
        <w:rPr>
          <w:rFonts w:ascii="Arial" w:hAnsi="Arial" w:cs="Arial"/>
          <w:b w:val="0"/>
          <w:sz w:val="18"/>
          <w:szCs w:val="18"/>
        </w:rPr>
        <w:t>nformações prestadas por Thaís Araújo, da ANVISA, em reunião realizada na ABIFINA, em 06/09/2011.</w:t>
      </w:r>
    </w:p>
  </w:footnote>
  <w:footnote w:id="7">
    <w:p w:rsidR="00205B1F" w:rsidRPr="00B04215" w:rsidRDefault="00205B1F" w:rsidP="00B04215">
      <w:pPr>
        <w:spacing w:line="240" w:lineRule="auto"/>
        <w:ind w:firstLine="0"/>
        <w:rPr>
          <w:rFonts w:ascii="Arial" w:hAnsi="Arial" w:cs="Arial"/>
          <w:sz w:val="18"/>
          <w:szCs w:val="20"/>
        </w:rPr>
      </w:pPr>
      <w:r w:rsidRPr="00B04215">
        <w:rPr>
          <w:rStyle w:val="Refdenotaderodap"/>
          <w:rFonts w:ascii="Arial" w:hAnsi="Arial" w:cs="Arial"/>
          <w:sz w:val="18"/>
          <w:szCs w:val="20"/>
        </w:rPr>
        <w:footnoteRef/>
      </w:r>
      <w:r w:rsidRPr="00B04215">
        <w:rPr>
          <w:rFonts w:ascii="Arial" w:hAnsi="Arial" w:cs="Arial"/>
          <w:sz w:val="18"/>
          <w:szCs w:val="20"/>
        </w:rPr>
        <w:t xml:space="preserve"> NCM - é a sigla para Nomenclatura Comum do MERCOSUL – código de oito dígitos estabelecido pelo MERCOSUL para identificar a natureza das mercadorias e promover o comércio internacional entre os países, além de facilitar a coleta e análise de estatísticas de comércio exterior. Acessado em: &lt;</w:t>
      </w:r>
      <w:proofErr w:type="gramStart"/>
      <w:r w:rsidRPr="00B04215">
        <w:rPr>
          <w:rFonts w:ascii="Arial" w:hAnsi="Arial" w:cs="Arial"/>
          <w:sz w:val="18"/>
          <w:szCs w:val="20"/>
        </w:rPr>
        <w:t>http://www.desenvolvimento.gov.br/sitio/interna/interna.</w:t>
      </w:r>
      <w:proofErr w:type="gramEnd"/>
      <w:r w:rsidRPr="00B04215">
        <w:rPr>
          <w:rFonts w:ascii="Arial" w:hAnsi="Arial" w:cs="Arial"/>
          <w:sz w:val="18"/>
          <w:szCs w:val="20"/>
        </w:rPr>
        <w:t>php?</w:t>
      </w:r>
      <w:proofErr w:type="gramStart"/>
      <w:r w:rsidRPr="00B04215">
        <w:rPr>
          <w:rFonts w:ascii="Arial" w:hAnsi="Arial" w:cs="Arial"/>
          <w:sz w:val="18"/>
          <w:szCs w:val="20"/>
        </w:rPr>
        <w:t>area</w:t>
      </w:r>
      <w:proofErr w:type="gramEnd"/>
      <w:r w:rsidRPr="00B04215">
        <w:rPr>
          <w:rFonts w:ascii="Arial" w:hAnsi="Arial" w:cs="Arial"/>
          <w:sz w:val="18"/>
          <w:szCs w:val="20"/>
        </w:rPr>
        <w:t>=5&amp;menu=1090&gt;.</w:t>
      </w:r>
    </w:p>
    <w:p w:rsidR="00205B1F" w:rsidRDefault="00205B1F">
      <w:pPr>
        <w:pStyle w:val="Textodenotaderodap"/>
      </w:pPr>
    </w:p>
  </w:footnote>
  <w:footnote w:id="8">
    <w:p w:rsidR="000A1699" w:rsidRPr="000A1699" w:rsidRDefault="000A1699">
      <w:pPr>
        <w:pStyle w:val="Textodenotaderodap"/>
        <w:rPr>
          <w:b w:val="0"/>
        </w:rPr>
      </w:pPr>
      <w:r w:rsidRPr="000A1699">
        <w:rPr>
          <w:rStyle w:val="Refdenotaderodap"/>
          <w:rFonts w:ascii="Arial" w:hAnsi="Arial" w:cs="Arial"/>
          <w:sz w:val="18"/>
        </w:rPr>
        <w:footnoteRef/>
      </w:r>
      <w:r w:rsidRPr="000A1699">
        <w:rPr>
          <w:rFonts w:ascii="Arial" w:hAnsi="Arial" w:cs="Arial"/>
          <w:sz w:val="18"/>
        </w:rPr>
        <w:t xml:space="preserve"> </w:t>
      </w:r>
      <w:r w:rsidRPr="000A1699">
        <w:rPr>
          <w:rFonts w:ascii="Arial" w:hAnsi="Arial" w:cs="Arial"/>
          <w:b w:val="0"/>
          <w:sz w:val="18"/>
          <w:szCs w:val="18"/>
        </w:rPr>
        <w:t>FOB – é a abreviatura da frase em inglês “</w:t>
      </w:r>
      <w:proofErr w:type="spellStart"/>
      <w:proofErr w:type="gramStart"/>
      <w:r w:rsidRPr="000A1699">
        <w:rPr>
          <w:rFonts w:ascii="Arial" w:hAnsi="Arial" w:cs="Arial"/>
          <w:b w:val="0"/>
          <w:sz w:val="18"/>
          <w:szCs w:val="18"/>
        </w:rPr>
        <w:t>FreeonBoard</w:t>
      </w:r>
      <w:proofErr w:type="spellEnd"/>
      <w:proofErr w:type="gramEnd"/>
      <w:r w:rsidRPr="000A1699">
        <w:rPr>
          <w:rFonts w:ascii="Arial" w:hAnsi="Arial" w:cs="Arial"/>
          <w:b w:val="0"/>
          <w:sz w:val="18"/>
          <w:szCs w:val="18"/>
        </w:rPr>
        <w:t xml:space="preserve">” que significa “Posto a Bordo”. </w:t>
      </w:r>
      <w:r w:rsidRPr="000A1699">
        <w:rPr>
          <w:rFonts w:ascii="Arial" w:hAnsi="Arial" w:cs="Arial"/>
          <w:b w:val="0"/>
          <w:iCs/>
          <w:sz w:val="18"/>
          <w:szCs w:val="18"/>
        </w:rPr>
        <w:t>Nas operações de comércio exterior, a cláusula FOB atribui ao vendedor o encargo de entregar a mercadoria a bordo, pelo preço estabelecido, ficando as despesas decorrentes do transporte (frete e seguro) por conta do comprador, bem como os riscos, até o porto de destino. Disponível em Instituto de Pesquisa Econômica Aplicada (IPEA): &lt;</w:t>
      </w:r>
      <w:proofErr w:type="gramStart"/>
      <w:r w:rsidRPr="000A1699">
        <w:rPr>
          <w:rFonts w:ascii="Arial" w:hAnsi="Arial" w:cs="Arial"/>
          <w:b w:val="0"/>
          <w:iCs/>
          <w:sz w:val="18"/>
          <w:szCs w:val="18"/>
        </w:rPr>
        <w:t>http://www.ipea.gov.br/desafios/index.</w:t>
      </w:r>
      <w:proofErr w:type="gramEnd"/>
      <w:r w:rsidRPr="000A1699">
        <w:rPr>
          <w:rFonts w:ascii="Arial" w:hAnsi="Arial" w:cs="Arial"/>
          <w:b w:val="0"/>
          <w:iCs/>
          <w:sz w:val="18"/>
          <w:szCs w:val="18"/>
        </w:rPr>
        <w:t>php?</w:t>
      </w:r>
      <w:proofErr w:type="gramStart"/>
      <w:r w:rsidRPr="000A1699">
        <w:rPr>
          <w:rFonts w:ascii="Arial" w:hAnsi="Arial" w:cs="Arial"/>
          <w:b w:val="0"/>
          <w:iCs/>
          <w:sz w:val="18"/>
          <w:szCs w:val="18"/>
        </w:rPr>
        <w:t>option</w:t>
      </w:r>
      <w:proofErr w:type="gramEnd"/>
      <w:r w:rsidRPr="000A1699">
        <w:rPr>
          <w:rFonts w:ascii="Arial" w:hAnsi="Arial" w:cs="Arial"/>
          <w:b w:val="0"/>
          <w:iCs/>
          <w:sz w:val="18"/>
          <w:szCs w:val="18"/>
        </w:rPr>
        <w:t>=com_content&amp;view=article&amp;id=2115:catid=28&amp;Itemid=23&gt;.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2971"/>
    <w:multiLevelType w:val="hybridMultilevel"/>
    <w:tmpl w:val="3CBC40D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1244558"/>
    <w:multiLevelType w:val="hybridMultilevel"/>
    <w:tmpl w:val="09A08AC2"/>
    <w:lvl w:ilvl="0" w:tplc="EDE87AB8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E56B9"/>
    <w:multiLevelType w:val="hybridMultilevel"/>
    <w:tmpl w:val="7180A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C2397"/>
    <w:multiLevelType w:val="hybridMultilevel"/>
    <w:tmpl w:val="85FA6E90"/>
    <w:lvl w:ilvl="0" w:tplc="C35E7F9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EF682D"/>
    <w:multiLevelType w:val="hybridMultilevel"/>
    <w:tmpl w:val="B7F25C74"/>
    <w:lvl w:ilvl="0" w:tplc="4472278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321E0"/>
    <w:multiLevelType w:val="multilevel"/>
    <w:tmpl w:val="954C1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61C5803"/>
    <w:multiLevelType w:val="hybridMultilevel"/>
    <w:tmpl w:val="D198362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48"/>
    <w:rsid w:val="00000397"/>
    <w:rsid w:val="00003B66"/>
    <w:rsid w:val="00004B1D"/>
    <w:rsid w:val="0000797D"/>
    <w:rsid w:val="00010BB2"/>
    <w:rsid w:val="0001102D"/>
    <w:rsid w:val="00012D0E"/>
    <w:rsid w:val="00014E55"/>
    <w:rsid w:val="00015BF7"/>
    <w:rsid w:val="000200AF"/>
    <w:rsid w:val="00020F2B"/>
    <w:rsid w:val="00024DCE"/>
    <w:rsid w:val="00025118"/>
    <w:rsid w:val="00026E71"/>
    <w:rsid w:val="00026F16"/>
    <w:rsid w:val="0003092C"/>
    <w:rsid w:val="00031016"/>
    <w:rsid w:val="00031BF2"/>
    <w:rsid w:val="00037EB7"/>
    <w:rsid w:val="00040989"/>
    <w:rsid w:val="00041962"/>
    <w:rsid w:val="00043939"/>
    <w:rsid w:val="00045C68"/>
    <w:rsid w:val="000509B7"/>
    <w:rsid w:val="0005102D"/>
    <w:rsid w:val="00052110"/>
    <w:rsid w:val="000534D8"/>
    <w:rsid w:val="00053E0A"/>
    <w:rsid w:val="00055D34"/>
    <w:rsid w:val="00060609"/>
    <w:rsid w:val="00061022"/>
    <w:rsid w:val="0006144F"/>
    <w:rsid w:val="00062722"/>
    <w:rsid w:val="000632ED"/>
    <w:rsid w:val="00066075"/>
    <w:rsid w:val="00066AAA"/>
    <w:rsid w:val="00066E5D"/>
    <w:rsid w:val="00070E34"/>
    <w:rsid w:val="000776D3"/>
    <w:rsid w:val="0008212A"/>
    <w:rsid w:val="00084E24"/>
    <w:rsid w:val="00085CCA"/>
    <w:rsid w:val="00086186"/>
    <w:rsid w:val="0009351C"/>
    <w:rsid w:val="00095730"/>
    <w:rsid w:val="00096453"/>
    <w:rsid w:val="0009752C"/>
    <w:rsid w:val="000A0C10"/>
    <w:rsid w:val="000A1699"/>
    <w:rsid w:val="000A27FE"/>
    <w:rsid w:val="000A7311"/>
    <w:rsid w:val="000B0696"/>
    <w:rsid w:val="000B0956"/>
    <w:rsid w:val="000B7986"/>
    <w:rsid w:val="000C0F2F"/>
    <w:rsid w:val="000C783E"/>
    <w:rsid w:val="000D0C14"/>
    <w:rsid w:val="000D464A"/>
    <w:rsid w:val="000E06A0"/>
    <w:rsid w:val="000E1769"/>
    <w:rsid w:val="000E2594"/>
    <w:rsid w:val="000E2996"/>
    <w:rsid w:val="000E4FB7"/>
    <w:rsid w:val="000E7DC0"/>
    <w:rsid w:val="000F2CFD"/>
    <w:rsid w:val="001115AD"/>
    <w:rsid w:val="00111A30"/>
    <w:rsid w:val="00115878"/>
    <w:rsid w:val="0011779F"/>
    <w:rsid w:val="00117D20"/>
    <w:rsid w:val="00120100"/>
    <w:rsid w:val="00120181"/>
    <w:rsid w:val="001215CF"/>
    <w:rsid w:val="00122F5B"/>
    <w:rsid w:val="001267E0"/>
    <w:rsid w:val="00127240"/>
    <w:rsid w:val="00133A24"/>
    <w:rsid w:val="001345FA"/>
    <w:rsid w:val="00136E8D"/>
    <w:rsid w:val="00137D04"/>
    <w:rsid w:val="00141E50"/>
    <w:rsid w:val="001427F7"/>
    <w:rsid w:val="00144559"/>
    <w:rsid w:val="00145C7A"/>
    <w:rsid w:val="001469E0"/>
    <w:rsid w:val="00150486"/>
    <w:rsid w:val="00152FB8"/>
    <w:rsid w:val="0016004C"/>
    <w:rsid w:val="001600CE"/>
    <w:rsid w:val="00160BCA"/>
    <w:rsid w:val="00162332"/>
    <w:rsid w:val="00167DEC"/>
    <w:rsid w:val="0017767B"/>
    <w:rsid w:val="00177D1D"/>
    <w:rsid w:val="0018688D"/>
    <w:rsid w:val="001933B1"/>
    <w:rsid w:val="0019370E"/>
    <w:rsid w:val="0019550C"/>
    <w:rsid w:val="001A040B"/>
    <w:rsid w:val="001A0630"/>
    <w:rsid w:val="001A1660"/>
    <w:rsid w:val="001A2A8E"/>
    <w:rsid w:val="001A7ED0"/>
    <w:rsid w:val="001B329B"/>
    <w:rsid w:val="001C32E8"/>
    <w:rsid w:val="001C71D1"/>
    <w:rsid w:val="001D5916"/>
    <w:rsid w:val="001E05D1"/>
    <w:rsid w:val="001E06C1"/>
    <w:rsid w:val="001E299D"/>
    <w:rsid w:val="001E71FC"/>
    <w:rsid w:val="001E7AFA"/>
    <w:rsid w:val="001F06ED"/>
    <w:rsid w:val="001F180A"/>
    <w:rsid w:val="001F347F"/>
    <w:rsid w:val="001F60EB"/>
    <w:rsid w:val="001F794B"/>
    <w:rsid w:val="00200334"/>
    <w:rsid w:val="00203572"/>
    <w:rsid w:val="00205B1F"/>
    <w:rsid w:val="002064A9"/>
    <w:rsid w:val="0021276C"/>
    <w:rsid w:val="002129DB"/>
    <w:rsid w:val="002158B2"/>
    <w:rsid w:val="00215F18"/>
    <w:rsid w:val="00217DB9"/>
    <w:rsid w:val="00221491"/>
    <w:rsid w:val="00227F8C"/>
    <w:rsid w:val="00231614"/>
    <w:rsid w:val="00235AAD"/>
    <w:rsid w:val="002374DD"/>
    <w:rsid w:val="00240398"/>
    <w:rsid w:val="00241B4D"/>
    <w:rsid w:val="002437ED"/>
    <w:rsid w:val="00243D9F"/>
    <w:rsid w:val="00246706"/>
    <w:rsid w:val="002500F6"/>
    <w:rsid w:val="00250979"/>
    <w:rsid w:val="00254362"/>
    <w:rsid w:val="00255C3D"/>
    <w:rsid w:val="0026167C"/>
    <w:rsid w:val="00263B16"/>
    <w:rsid w:val="00264EEB"/>
    <w:rsid w:val="0027732C"/>
    <w:rsid w:val="00287E83"/>
    <w:rsid w:val="00287F3A"/>
    <w:rsid w:val="002948F4"/>
    <w:rsid w:val="00296A02"/>
    <w:rsid w:val="002B38C4"/>
    <w:rsid w:val="002B48C5"/>
    <w:rsid w:val="002B60E3"/>
    <w:rsid w:val="002B60ED"/>
    <w:rsid w:val="002C0AE8"/>
    <w:rsid w:val="002C0D9B"/>
    <w:rsid w:val="002C30B5"/>
    <w:rsid w:val="002C3D51"/>
    <w:rsid w:val="002C5743"/>
    <w:rsid w:val="002C581B"/>
    <w:rsid w:val="002D521F"/>
    <w:rsid w:val="002D5581"/>
    <w:rsid w:val="002E0A77"/>
    <w:rsid w:val="002E0CC0"/>
    <w:rsid w:val="002E686E"/>
    <w:rsid w:val="002E6D9F"/>
    <w:rsid w:val="002F0E00"/>
    <w:rsid w:val="002F3058"/>
    <w:rsid w:val="002F4533"/>
    <w:rsid w:val="00300B66"/>
    <w:rsid w:val="00302397"/>
    <w:rsid w:val="00310283"/>
    <w:rsid w:val="00313A6A"/>
    <w:rsid w:val="00326AE1"/>
    <w:rsid w:val="00327555"/>
    <w:rsid w:val="00327D2D"/>
    <w:rsid w:val="00336F1B"/>
    <w:rsid w:val="00347A63"/>
    <w:rsid w:val="0035339B"/>
    <w:rsid w:val="00354DE6"/>
    <w:rsid w:val="003554D3"/>
    <w:rsid w:val="00356FDA"/>
    <w:rsid w:val="00362AA8"/>
    <w:rsid w:val="00366299"/>
    <w:rsid w:val="003669F5"/>
    <w:rsid w:val="00373CCD"/>
    <w:rsid w:val="00380704"/>
    <w:rsid w:val="00383883"/>
    <w:rsid w:val="00387DED"/>
    <w:rsid w:val="00387F84"/>
    <w:rsid w:val="00391781"/>
    <w:rsid w:val="00394B48"/>
    <w:rsid w:val="003A073A"/>
    <w:rsid w:val="003A2AB6"/>
    <w:rsid w:val="003A6AAE"/>
    <w:rsid w:val="003B10F2"/>
    <w:rsid w:val="003B428A"/>
    <w:rsid w:val="003C15A5"/>
    <w:rsid w:val="003C288E"/>
    <w:rsid w:val="003C4F93"/>
    <w:rsid w:val="003C4FB4"/>
    <w:rsid w:val="003C686C"/>
    <w:rsid w:val="003C6ADD"/>
    <w:rsid w:val="003D12F6"/>
    <w:rsid w:val="003D20D8"/>
    <w:rsid w:val="003D7F66"/>
    <w:rsid w:val="003E4B2A"/>
    <w:rsid w:val="003E5AAC"/>
    <w:rsid w:val="003E6CF2"/>
    <w:rsid w:val="003F0549"/>
    <w:rsid w:val="003F554A"/>
    <w:rsid w:val="003F7894"/>
    <w:rsid w:val="003F7B36"/>
    <w:rsid w:val="003F7BF6"/>
    <w:rsid w:val="00403364"/>
    <w:rsid w:val="00404EA3"/>
    <w:rsid w:val="00406D29"/>
    <w:rsid w:val="00407CB5"/>
    <w:rsid w:val="004121FB"/>
    <w:rsid w:val="00413A67"/>
    <w:rsid w:val="00423E0B"/>
    <w:rsid w:val="00426210"/>
    <w:rsid w:val="0042630E"/>
    <w:rsid w:val="004266D7"/>
    <w:rsid w:val="004367BD"/>
    <w:rsid w:val="00442370"/>
    <w:rsid w:val="00451AFD"/>
    <w:rsid w:val="00452C9A"/>
    <w:rsid w:val="004565D8"/>
    <w:rsid w:val="00462C14"/>
    <w:rsid w:val="004657A5"/>
    <w:rsid w:val="00465FD2"/>
    <w:rsid w:val="0047065D"/>
    <w:rsid w:val="004707F3"/>
    <w:rsid w:val="00471DB6"/>
    <w:rsid w:val="0048573F"/>
    <w:rsid w:val="00487192"/>
    <w:rsid w:val="004924C0"/>
    <w:rsid w:val="004941CE"/>
    <w:rsid w:val="00495764"/>
    <w:rsid w:val="004961FD"/>
    <w:rsid w:val="004978EF"/>
    <w:rsid w:val="004B283E"/>
    <w:rsid w:val="004B49D9"/>
    <w:rsid w:val="004C0D28"/>
    <w:rsid w:val="004C0F66"/>
    <w:rsid w:val="004C394E"/>
    <w:rsid w:val="004D069E"/>
    <w:rsid w:val="004D484E"/>
    <w:rsid w:val="004E1599"/>
    <w:rsid w:val="004E1674"/>
    <w:rsid w:val="004F36DD"/>
    <w:rsid w:val="004F388D"/>
    <w:rsid w:val="004F4419"/>
    <w:rsid w:val="004F7350"/>
    <w:rsid w:val="00510208"/>
    <w:rsid w:val="00511FC3"/>
    <w:rsid w:val="00513E07"/>
    <w:rsid w:val="00514F50"/>
    <w:rsid w:val="0051550B"/>
    <w:rsid w:val="00517109"/>
    <w:rsid w:val="00520C95"/>
    <w:rsid w:val="0052124C"/>
    <w:rsid w:val="0052167B"/>
    <w:rsid w:val="00521A93"/>
    <w:rsid w:val="00521D61"/>
    <w:rsid w:val="00522356"/>
    <w:rsid w:val="00532AF3"/>
    <w:rsid w:val="00537995"/>
    <w:rsid w:val="00542258"/>
    <w:rsid w:val="00542654"/>
    <w:rsid w:val="0054560D"/>
    <w:rsid w:val="00551296"/>
    <w:rsid w:val="00553F71"/>
    <w:rsid w:val="005556C3"/>
    <w:rsid w:val="00564FFD"/>
    <w:rsid w:val="00566876"/>
    <w:rsid w:val="00573231"/>
    <w:rsid w:val="005771BC"/>
    <w:rsid w:val="005811B7"/>
    <w:rsid w:val="005906B5"/>
    <w:rsid w:val="00591071"/>
    <w:rsid w:val="00595E37"/>
    <w:rsid w:val="005A183C"/>
    <w:rsid w:val="005A226D"/>
    <w:rsid w:val="005A3F5B"/>
    <w:rsid w:val="005A52E1"/>
    <w:rsid w:val="005B04C7"/>
    <w:rsid w:val="005B08B9"/>
    <w:rsid w:val="005B2C10"/>
    <w:rsid w:val="005B364E"/>
    <w:rsid w:val="005B4419"/>
    <w:rsid w:val="005B5255"/>
    <w:rsid w:val="005B5D52"/>
    <w:rsid w:val="005B6327"/>
    <w:rsid w:val="005B74A9"/>
    <w:rsid w:val="005C2DF1"/>
    <w:rsid w:val="005C5311"/>
    <w:rsid w:val="005D0470"/>
    <w:rsid w:val="005D07BF"/>
    <w:rsid w:val="005D45E7"/>
    <w:rsid w:val="005D57E3"/>
    <w:rsid w:val="005D6D1B"/>
    <w:rsid w:val="005D7173"/>
    <w:rsid w:val="005D7D34"/>
    <w:rsid w:val="005E4D09"/>
    <w:rsid w:val="005E5195"/>
    <w:rsid w:val="005F46AF"/>
    <w:rsid w:val="005F5D39"/>
    <w:rsid w:val="005F7F00"/>
    <w:rsid w:val="00601698"/>
    <w:rsid w:val="00601EEE"/>
    <w:rsid w:val="00605267"/>
    <w:rsid w:val="006065D0"/>
    <w:rsid w:val="0061036D"/>
    <w:rsid w:val="006104F3"/>
    <w:rsid w:val="0061092B"/>
    <w:rsid w:val="00614CE5"/>
    <w:rsid w:val="00616B9B"/>
    <w:rsid w:val="006232E3"/>
    <w:rsid w:val="00624370"/>
    <w:rsid w:val="00633006"/>
    <w:rsid w:val="00633E2C"/>
    <w:rsid w:val="006354CE"/>
    <w:rsid w:val="00637B31"/>
    <w:rsid w:val="00637BD5"/>
    <w:rsid w:val="00644C57"/>
    <w:rsid w:val="006468FC"/>
    <w:rsid w:val="006470D7"/>
    <w:rsid w:val="006537F0"/>
    <w:rsid w:val="006566D3"/>
    <w:rsid w:val="00660666"/>
    <w:rsid w:val="00660FD2"/>
    <w:rsid w:val="00664399"/>
    <w:rsid w:val="00665816"/>
    <w:rsid w:val="0066724F"/>
    <w:rsid w:val="00672285"/>
    <w:rsid w:val="006722A1"/>
    <w:rsid w:val="00672A6B"/>
    <w:rsid w:val="00681914"/>
    <w:rsid w:val="00696B30"/>
    <w:rsid w:val="006A1529"/>
    <w:rsid w:val="006A34F0"/>
    <w:rsid w:val="006A4B4B"/>
    <w:rsid w:val="006A51EC"/>
    <w:rsid w:val="006A6AB7"/>
    <w:rsid w:val="006A7886"/>
    <w:rsid w:val="006B1BE8"/>
    <w:rsid w:val="006B424D"/>
    <w:rsid w:val="006C00DC"/>
    <w:rsid w:val="006C1417"/>
    <w:rsid w:val="006C1A8B"/>
    <w:rsid w:val="006C5A19"/>
    <w:rsid w:val="006C66B5"/>
    <w:rsid w:val="006C725B"/>
    <w:rsid w:val="006D2672"/>
    <w:rsid w:val="006D5635"/>
    <w:rsid w:val="006E3DCF"/>
    <w:rsid w:val="006E4A06"/>
    <w:rsid w:val="006E6CDF"/>
    <w:rsid w:val="006E764F"/>
    <w:rsid w:val="006E7BD5"/>
    <w:rsid w:val="00700405"/>
    <w:rsid w:val="00713E81"/>
    <w:rsid w:val="007158B0"/>
    <w:rsid w:val="007177A4"/>
    <w:rsid w:val="007213BE"/>
    <w:rsid w:val="00725A6F"/>
    <w:rsid w:val="00733874"/>
    <w:rsid w:val="00733E55"/>
    <w:rsid w:val="00735EF6"/>
    <w:rsid w:val="0074020F"/>
    <w:rsid w:val="0074035A"/>
    <w:rsid w:val="00740915"/>
    <w:rsid w:val="007433AC"/>
    <w:rsid w:val="0075177D"/>
    <w:rsid w:val="00756DFA"/>
    <w:rsid w:val="00761E1B"/>
    <w:rsid w:val="0076349F"/>
    <w:rsid w:val="00764447"/>
    <w:rsid w:val="00764720"/>
    <w:rsid w:val="007657B7"/>
    <w:rsid w:val="00766839"/>
    <w:rsid w:val="00766A1B"/>
    <w:rsid w:val="00767159"/>
    <w:rsid w:val="007763EA"/>
    <w:rsid w:val="00781673"/>
    <w:rsid w:val="00786A4B"/>
    <w:rsid w:val="0078725A"/>
    <w:rsid w:val="00790CEA"/>
    <w:rsid w:val="00791DC1"/>
    <w:rsid w:val="00795391"/>
    <w:rsid w:val="00796B33"/>
    <w:rsid w:val="00796ED7"/>
    <w:rsid w:val="0079736F"/>
    <w:rsid w:val="007A1871"/>
    <w:rsid w:val="007A473D"/>
    <w:rsid w:val="007A5981"/>
    <w:rsid w:val="007A60C5"/>
    <w:rsid w:val="007A63AE"/>
    <w:rsid w:val="007B1D4B"/>
    <w:rsid w:val="007B28CF"/>
    <w:rsid w:val="007B492B"/>
    <w:rsid w:val="007C1462"/>
    <w:rsid w:val="007C3EC6"/>
    <w:rsid w:val="007C5E2C"/>
    <w:rsid w:val="007D074D"/>
    <w:rsid w:val="007D124F"/>
    <w:rsid w:val="007D1895"/>
    <w:rsid w:val="007D25D1"/>
    <w:rsid w:val="007D3524"/>
    <w:rsid w:val="007E08AA"/>
    <w:rsid w:val="007E08BB"/>
    <w:rsid w:val="007E1091"/>
    <w:rsid w:val="007E224A"/>
    <w:rsid w:val="007E5EEB"/>
    <w:rsid w:val="007F11DB"/>
    <w:rsid w:val="007F1F80"/>
    <w:rsid w:val="007F411B"/>
    <w:rsid w:val="007F6F0E"/>
    <w:rsid w:val="00800390"/>
    <w:rsid w:val="008038B0"/>
    <w:rsid w:val="00805280"/>
    <w:rsid w:val="00807777"/>
    <w:rsid w:val="00811780"/>
    <w:rsid w:val="00814352"/>
    <w:rsid w:val="008163A7"/>
    <w:rsid w:val="00816EA3"/>
    <w:rsid w:val="00817A50"/>
    <w:rsid w:val="00824B78"/>
    <w:rsid w:val="00826C44"/>
    <w:rsid w:val="0082700E"/>
    <w:rsid w:val="00827962"/>
    <w:rsid w:val="00830AA7"/>
    <w:rsid w:val="00831953"/>
    <w:rsid w:val="00836533"/>
    <w:rsid w:val="00847F9C"/>
    <w:rsid w:val="008513B1"/>
    <w:rsid w:val="00863104"/>
    <w:rsid w:val="00864F36"/>
    <w:rsid w:val="0086547F"/>
    <w:rsid w:val="00867049"/>
    <w:rsid w:val="00867318"/>
    <w:rsid w:val="00872429"/>
    <w:rsid w:val="008731BD"/>
    <w:rsid w:val="00873CD7"/>
    <w:rsid w:val="0088133A"/>
    <w:rsid w:val="00886C60"/>
    <w:rsid w:val="008918FC"/>
    <w:rsid w:val="008921E3"/>
    <w:rsid w:val="00892318"/>
    <w:rsid w:val="0089480C"/>
    <w:rsid w:val="00895A0F"/>
    <w:rsid w:val="00897E11"/>
    <w:rsid w:val="008A034A"/>
    <w:rsid w:val="008A35CF"/>
    <w:rsid w:val="008A7245"/>
    <w:rsid w:val="008B0E24"/>
    <w:rsid w:val="008B3EAC"/>
    <w:rsid w:val="008B670B"/>
    <w:rsid w:val="008C0A08"/>
    <w:rsid w:val="008C491C"/>
    <w:rsid w:val="008C4FF5"/>
    <w:rsid w:val="008D22C4"/>
    <w:rsid w:val="008D3372"/>
    <w:rsid w:val="008E0CFE"/>
    <w:rsid w:val="008E1B89"/>
    <w:rsid w:val="008E58E7"/>
    <w:rsid w:val="008E6F25"/>
    <w:rsid w:val="008E7A1D"/>
    <w:rsid w:val="008F23C5"/>
    <w:rsid w:val="008F758A"/>
    <w:rsid w:val="008F7B33"/>
    <w:rsid w:val="0090473F"/>
    <w:rsid w:val="00904AB7"/>
    <w:rsid w:val="00906A8D"/>
    <w:rsid w:val="0091235C"/>
    <w:rsid w:val="00912719"/>
    <w:rsid w:val="00915331"/>
    <w:rsid w:val="00916D75"/>
    <w:rsid w:val="0092364F"/>
    <w:rsid w:val="0093035B"/>
    <w:rsid w:val="009319CB"/>
    <w:rsid w:val="00932027"/>
    <w:rsid w:val="00933B46"/>
    <w:rsid w:val="00934934"/>
    <w:rsid w:val="00936318"/>
    <w:rsid w:val="00940ACC"/>
    <w:rsid w:val="00945CF9"/>
    <w:rsid w:val="0094637A"/>
    <w:rsid w:val="00950BD9"/>
    <w:rsid w:val="00963A16"/>
    <w:rsid w:val="00967DD1"/>
    <w:rsid w:val="0097356B"/>
    <w:rsid w:val="009750DD"/>
    <w:rsid w:val="009762AC"/>
    <w:rsid w:val="009810C8"/>
    <w:rsid w:val="00982310"/>
    <w:rsid w:val="00990D14"/>
    <w:rsid w:val="00992D8D"/>
    <w:rsid w:val="00993D1D"/>
    <w:rsid w:val="0099420D"/>
    <w:rsid w:val="00995212"/>
    <w:rsid w:val="009969A2"/>
    <w:rsid w:val="009969B2"/>
    <w:rsid w:val="009971DE"/>
    <w:rsid w:val="009A31F5"/>
    <w:rsid w:val="009A33AC"/>
    <w:rsid w:val="009A6219"/>
    <w:rsid w:val="009A7B74"/>
    <w:rsid w:val="009A7DC2"/>
    <w:rsid w:val="009B0639"/>
    <w:rsid w:val="009B11BD"/>
    <w:rsid w:val="009B2A10"/>
    <w:rsid w:val="009B2FBD"/>
    <w:rsid w:val="009B34FB"/>
    <w:rsid w:val="009B5687"/>
    <w:rsid w:val="009C25D0"/>
    <w:rsid w:val="009C6917"/>
    <w:rsid w:val="009C7E47"/>
    <w:rsid w:val="009D4C14"/>
    <w:rsid w:val="009D5DD5"/>
    <w:rsid w:val="009D6062"/>
    <w:rsid w:val="009E2534"/>
    <w:rsid w:val="009E2AC4"/>
    <w:rsid w:val="009E2D84"/>
    <w:rsid w:val="009F0FC9"/>
    <w:rsid w:val="00A058E7"/>
    <w:rsid w:val="00A060DF"/>
    <w:rsid w:val="00A07897"/>
    <w:rsid w:val="00A16102"/>
    <w:rsid w:val="00A206C0"/>
    <w:rsid w:val="00A22043"/>
    <w:rsid w:val="00A24EF7"/>
    <w:rsid w:val="00A324BA"/>
    <w:rsid w:val="00A32636"/>
    <w:rsid w:val="00A3395D"/>
    <w:rsid w:val="00A34122"/>
    <w:rsid w:val="00A3463E"/>
    <w:rsid w:val="00A36211"/>
    <w:rsid w:val="00A41715"/>
    <w:rsid w:val="00A41FA9"/>
    <w:rsid w:val="00A44200"/>
    <w:rsid w:val="00A461C6"/>
    <w:rsid w:val="00A46706"/>
    <w:rsid w:val="00A46AB0"/>
    <w:rsid w:val="00A47D23"/>
    <w:rsid w:val="00A56A75"/>
    <w:rsid w:val="00A61664"/>
    <w:rsid w:val="00A623AC"/>
    <w:rsid w:val="00A72F91"/>
    <w:rsid w:val="00A73E6C"/>
    <w:rsid w:val="00A75C6D"/>
    <w:rsid w:val="00A75F85"/>
    <w:rsid w:val="00A765C2"/>
    <w:rsid w:val="00A85327"/>
    <w:rsid w:val="00A85E1D"/>
    <w:rsid w:val="00A85E5A"/>
    <w:rsid w:val="00A8730C"/>
    <w:rsid w:val="00A878F2"/>
    <w:rsid w:val="00A9245C"/>
    <w:rsid w:val="00AA5FB5"/>
    <w:rsid w:val="00AA7661"/>
    <w:rsid w:val="00AB5B75"/>
    <w:rsid w:val="00AC192C"/>
    <w:rsid w:val="00AC1B19"/>
    <w:rsid w:val="00AC4343"/>
    <w:rsid w:val="00AC5EA9"/>
    <w:rsid w:val="00AD260E"/>
    <w:rsid w:val="00AD2A55"/>
    <w:rsid w:val="00AD4AA6"/>
    <w:rsid w:val="00AE3459"/>
    <w:rsid w:val="00AE4B94"/>
    <w:rsid w:val="00AE795D"/>
    <w:rsid w:val="00AE7B58"/>
    <w:rsid w:val="00AF5AAF"/>
    <w:rsid w:val="00B00552"/>
    <w:rsid w:val="00B00DB9"/>
    <w:rsid w:val="00B02344"/>
    <w:rsid w:val="00B04215"/>
    <w:rsid w:val="00B05D64"/>
    <w:rsid w:val="00B072D7"/>
    <w:rsid w:val="00B13C51"/>
    <w:rsid w:val="00B13E37"/>
    <w:rsid w:val="00B14263"/>
    <w:rsid w:val="00B15901"/>
    <w:rsid w:val="00B16D57"/>
    <w:rsid w:val="00B20352"/>
    <w:rsid w:val="00B215C1"/>
    <w:rsid w:val="00B219ED"/>
    <w:rsid w:val="00B260FE"/>
    <w:rsid w:val="00B278F5"/>
    <w:rsid w:val="00B3073E"/>
    <w:rsid w:val="00B30E94"/>
    <w:rsid w:val="00B3415B"/>
    <w:rsid w:val="00B37CCD"/>
    <w:rsid w:val="00B40224"/>
    <w:rsid w:val="00B43C41"/>
    <w:rsid w:val="00B46898"/>
    <w:rsid w:val="00B52AA0"/>
    <w:rsid w:val="00B536D8"/>
    <w:rsid w:val="00B53F61"/>
    <w:rsid w:val="00B55777"/>
    <w:rsid w:val="00B62966"/>
    <w:rsid w:val="00B70697"/>
    <w:rsid w:val="00B7140E"/>
    <w:rsid w:val="00B72F25"/>
    <w:rsid w:val="00B732ED"/>
    <w:rsid w:val="00B77457"/>
    <w:rsid w:val="00B837C5"/>
    <w:rsid w:val="00B839B7"/>
    <w:rsid w:val="00B85F50"/>
    <w:rsid w:val="00B93C78"/>
    <w:rsid w:val="00B946F1"/>
    <w:rsid w:val="00B95267"/>
    <w:rsid w:val="00B95902"/>
    <w:rsid w:val="00B96624"/>
    <w:rsid w:val="00BA0DD5"/>
    <w:rsid w:val="00BA0F6B"/>
    <w:rsid w:val="00BA1380"/>
    <w:rsid w:val="00BA2DBB"/>
    <w:rsid w:val="00BA696D"/>
    <w:rsid w:val="00BB2AA7"/>
    <w:rsid w:val="00BB408F"/>
    <w:rsid w:val="00BB7472"/>
    <w:rsid w:val="00BB77E7"/>
    <w:rsid w:val="00BC5423"/>
    <w:rsid w:val="00BC5D7D"/>
    <w:rsid w:val="00BC7A8F"/>
    <w:rsid w:val="00BD060C"/>
    <w:rsid w:val="00BD3081"/>
    <w:rsid w:val="00BD6EC7"/>
    <w:rsid w:val="00BD74AA"/>
    <w:rsid w:val="00BE3213"/>
    <w:rsid w:val="00BE36FF"/>
    <w:rsid w:val="00BE5994"/>
    <w:rsid w:val="00BE6FBE"/>
    <w:rsid w:val="00BE74AB"/>
    <w:rsid w:val="00BF0431"/>
    <w:rsid w:val="00BF0621"/>
    <w:rsid w:val="00BF113B"/>
    <w:rsid w:val="00BF310A"/>
    <w:rsid w:val="00BF439A"/>
    <w:rsid w:val="00BF4667"/>
    <w:rsid w:val="00BF4CBA"/>
    <w:rsid w:val="00C00FC7"/>
    <w:rsid w:val="00C01773"/>
    <w:rsid w:val="00C017D4"/>
    <w:rsid w:val="00C01C31"/>
    <w:rsid w:val="00C0345D"/>
    <w:rsid w:val="00C04F14"/>
    <w:rsid w:val="00C15EFF"/>
    <w:rsid w:val="00C16106"/>
    <w:rsid w:val="00C16A3A"/>
    <w:rsid w:val="00C22674"/>
    <w:rsid w:val="00C25889"/>
    <w:rsid w:val="00C27F12"/>
    <w:rsid w:val="00C3026D"/>
    <w:rsid w:val="00C33AB5"/>
    <w:rsid w:val="00C34D5E"/>
    <w:rsid w:val="00C34EC8"/>
    <w:rsid w:val="00C37E38"/>
    <w:rsid w:val="00C42798"/>
    <w:rsid w:val="00C4522E"/>
    <w:rsid w:val="00C53691"/>
    <w:rsid w:val="00C53DF3"/>
    <w:rsid w:val="00C54596"/>
    <w:rsid w:val="00C56C19"/>
    <w:rsid w:val="00C62E6D"/>
    <w:rsid w:val="00C64181"/>
    <w:rsid w:val="00C65F2B"/>
    <w:rsid w:val="00C66A20"/>
    <w:rsid w:val="00C7128C"/>
    <w:rsid w:val="00C82A43"/>
    <w:rsid w:val="00C861EF"/>
    <w:rsid w:val="00C86A1F"/>
    <w:rsid w:val="00C91463"/>
    <w:rsid w:val="00CA1528"/>
    <w:rsid w:val="00CA3A9C"/>
    <w:rsid w:val="00CA6787"/>
    <w:rsid w:val="00CB0D03"/>
    <w:rsid w:val="00CB16DB"/>
    <w:rsid w:val="00CB4897"/>
    <w:rsid w:val="00CB7808"/>
    <w:rsid w:val="00CC0B36"/>
    <w:rsid w:val="00CC31A7"/>
    <w:rsid w:val="00CC4275"/>
    <w:rsid w:val="00CC551D"/>
    <w:rsid w:val="00CC63F6"/>
    <w:rsid w:val="00CD2348"/>
    <w:rsid w:val="00CD4485"/>
    <w:rsid w:val="00CD7E9D"/>
    <w:rsid w:val="00CE0F58"/>
    <w:rsid w:val="00CE12BB"/>
    <w:rsid w:val="00CE3813"/>
    <w:rsid w:val="00CE6DB8"/>
    <w:rsid w:val="00CF09A8"/>
    <w:rsid w:val="00CF4394"/>
    <w:rsid w:val="00CF6F4B"/>
    <w:rsid w:val="00CF711A"/>
    <w:rsid w:val="00D00141"/>
    <w:rsid w:val="00D0087C"/>
    <w:rsid w:val="00D03D80"/>
    <w:rsid w:val="00D0548A"/>
    <w:rsid w:val="00D05845"/>
    <w:rsid w:val="00D05996"/>
    <w:rsid w:val="00D068E4"/>
    <w:rsid w:val="00D06E71"/>
    <w:rsid w:val="00D22DA3"/>
    <w:rsid w:val="00D31E48"/>
    <w:rsid w:val="00D3226D"/>
    <w:rsid w:val="00D32683"/>
    <w:rsid w:val="00D336FA"/>
    <w:rsid w:val="00D363BB"/>
    <w:rsid w:val="00D5797F"/>
    <w:rsid w:val="00D57E4A"/>
    <w:rsid w:val="00D603B4"/>
    <w:rsid w:val="00D6180D"/>
    <w:rsid w:val="00D63D09"/>
    <w:rsid w:val="00D64163"/>
    <w:rsid w:val="00D645F2"/>
    <w:rsid w:val="00D657D2"/>
    <w:rsid w:val="00D6729C"/>
    <w:rsid w:val="00D734D4"/>
    <w:rsid w:val="00D750FC"/>
    <w:rsid w:val="00D772D6"/>
    <w:rsid w:val="00D84FFF"/>
    <w:rsid w:val="00D90748"/>
    <w:rsid w:val="00D91173"/>
    <w:rsid w:val="00D95FBA"/>
    <w:rsid w:val="00DA2350"/>
    <w:rsid w:val="00DA269C"/>
    <w:rsid w:val="00DA2957"/>
    <w:rsid w:val="00DA4874"/>
    <w:rsid w:val="00DA4A57"/>
    <w:rsid w:val="00DB3858"/>
    <w:rsid w:val="00DB75B5"/>
    <w:rsid w:val="00DC01DA"/>
    <w:rsid w:val="00DC0F2D"/>
    <w:rsid w:val="00DC2947"/>
    <w:rsid w:val="00DC34EA"/>
    <w:rsid w:val="00DC3FEF"/>
    <w:rsid w:val="00DC44BD"/>
    <w:rsid w:val="00DC49D1"/>
    <w:rsid w:val="00DC4D3E"/>
    <w:rsid w:val="00DC6637"/>
    <w:rsid w:val="00DD0616"/>
    <w:rsid w:val="00DD29C6"/>
    <w:rsid w:val="00DD3824"/>
    <w:rsid w:val="00DD3A7A"/>
    <w:rsid w:val="00DD3C37"/>
    <w:rsid w:val="00DD6CF6"/>
    <w:rsid w:val="00DE001B"/>
    <w:rsid w:val="00DE1ECE"/>
    <w:rsid w:val="00DE318A"/>
    <w:rsid w:val="00DE3631"/>
    <w:rsid w:val="00DE4724"/>
    <w:rsid w:val="00DF1992"/>
    <w:rsid w:val="00DF3ABB"/>
    <w:rsid w:val="00DF3B26"/>
    <w:rsid w:val="00DF3E23"/>
    <w:rsid w:val="00DF6EDA"/>
    <w:rsid w:val="00E006B3"/>
    <w:rsid w:val="00E02CFD"/>
    <w:rsid w:val="00E03BCD"/>
    <w:rsid w:val="00E2277A"/>
    <w:rsid w:val="00E22D8C"/>
    <w:rsid w:val="00E23E7A"/>
    <w:rsid w:val="00E30CBF"/>
    <w:rsid w:val="00E35F8E"/>
    <w:rsid w:val="00E41D92"/>
    <w:rsid w:val="00E422B2"/>
    <w:rsid w:val="00E43DBF"/>
    <w:rsid w:val="00E44496"/>
    <w:rsid w:val="00E4522A"/>
    <w:rsid w:val="00E47698"/>
    <w:rsid w:val="00E54313"/>
    <w:rsid w:val="00E60754"/>
    <w:rsid w:val="00E64EAB"/>
    <w:rsid w:val="00E656C1"/>
    <w:rsid w:val="00E71B9C"/>
    <w:rsid w:val="00E738FD"/>
    <w:rsid w:val="00E75057"/>
    <w:rsid w:val="00E755E2"/>
    <w:rsid w:val="00E76F83"/>
    <w:rsid w:val="00E77526"/>
    <w:rsid w:val="00E77E20"/>
    <w:rsid w:val="00E80530"/>
    <w:rsid w:val="00E82B97"/>
    <w:rsid w:val="00E83762"/>
    <w:rsid w:val="00E85CAD"/>
    <w:rsid w:val="00E86509"/>
    <w:rsid w:val="00E87D7D"/>
    <w:rsid w:val="00E94016"/>
    <w:rsid w:val="00EA2911"/>
    <w:rsid w:val="00EA36FD"/>
    <w:rsid w:val="00EA63D4"/>
    <w:rsid w:val="00EA66DF"/>
    <w:rsid w:val="00EB05CE"/>
    <w:rsid w:val="00EB1A96"/>
    <w:rsid w:val="00EB2B46"/>
    <w:rsid w:val="00EB6C30"/>
    <w:rsid w:val="00EC4034"/>
    <w:rsid w:val="00EC4EDF"/>
    <w:rsid w:val="00EC7EE2"/>
    <w:rsid w:val="00ED0FCF"/>
    <w:rsid w:val="00ED32BD"/>
    <w:rsid w:val="00ED4AE0"/>
    <w:rsid w:val="00ED6297"/>
    <w:rsid w:val="00ED7392"/>
    <w:rsid w:val="00EE4053"/>
    <w:rsid w:val="00EE4E0B"/>
    <w:rsid w:val="00EE5841"/>
    <w:rsid w:val="00EF1A63"/>
    <w:rsid w:val="00EF79AA"/>
    <w:rsid w:val="00F016E2"/>
    <w:rsid w:val="00F0239C"/>
    <w:rsid w:val="00F03796"/>
    <w:rsid w:val="00F05632"/>
    <w:rsid w:val="00F137D6"/>
    <w:rsid w:val="00F15772"/>
    <w:rsid w:val="00F16789"/>
    <w:rsid w:val="00F2011E"/>
    <w:rsid w:val="00F224F3"/>
    <w:rsid w:val="00F22AF7"/>
    <w:rsid w:val="00F25E63"/>
    <w:rsid w:val="00F27653"/>
    <w:rsid w:val="00F3005F"/>
    <w:rsid w:val="00F31176"/>
    <w:rsid w:val="00F31E19"/>
    <w:rsid w:val="00F32801"/>
    <w:rsid w:val="00F37989"/>
    <w:rsid w:val="00F4059E"/>
    <w:rsid w:val="00F42ADF"/>
    <w:rsid w:val="00F438FB"/>
    <w:rsid w:val="00F46B21"/>
    <w:rsid w:val="00F51CCC"/>
    <w:rsid w:val="00F53298"/>
    <w:rsid w:val="00F53BBF"/>
    <w:rsid w:val="00F5474E"/>
    <w:rsid w:val="00F54B1A"/>
    <w:rsid w:val="00F54D6D"/>
    <w:rsid w:val="00F55AF1"/>
    <w:rsid w:val="00F63EB5"/>
    <w:rsid w:val="00F65975"/>
    <w:rsid w:val="00F701EB"/>
    <w:rsid w:val="00F70B8B"/>
    <w:rsid w:val="00F71104"/>
    <w:rsid w:val="00F71292"/>
    <w:rsid w:val="00F733E4"/>
    <w:rsid w:val="00F7343B"/>
    <w:rsid w:val="00F7372F"/>
    <w:rsid w:val="00F76C99"/>
    <w:rsid w:val="00F77D64"/>
    <w:rsid w:val="00F813E4"/>
    <w:rsid w:val="00F878F3"/>
    <w:rsid w:val="00F91517"/>
    <w:rsid w:val="00F97484"/>
    <w:rsid w:val="00FA4D35"/>
    <w:rsid w:val="00FB15B5"/>
    <w:rsid w:val="00FB2FF6"/>
    <w:rsid w:val="00FB5E95"/>
    <w:rsid w:val="00FC0105"/>
    <w:rsid w:val="00FD0F77"/>
    <w:rsid w:val="00FD429C"/>
    <w:rsid w:val="00FD4EDE"/>
    <w:rsid w:val="00FD5C59"/>
    <w:rsid w:val="00FD7B88"/>
    <w:rsid w:val="00FF1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392"/>
    <w:pPr>
      <w:spacing w:line="360" w:lineRule="auto"/>
      <w:ind w:firstLine="284"/>
      <w:jc w:val="both"/>
    </w:pPr>
    <w:rPr>
      <w:rFonts w:ascii="Trebuchet MS" w:hAnsi="Trebuchet MS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7356B"/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7356B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ListaMdia2-nfase1">
    <w:name w:val="Medium List 2 Accent 1"/>
    <w:basedOn w:val="Tabelanormal"/>
    <w:uiPriority w:val="66"/>
    <w:rsid w:val="00F32801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elacomgrade">
    <w:name w:val="Table Grid"/>
    <w:basedOn w:val="Tabelanormal"/>
    <w:uiPriority w:val="59"/>
    <w:rsid w:val="00F3280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Mdio2-nfase2">
    <w:name w:val="Medium Shading 2 Accent 2"/>
    <w:basedOn w:val="Tabelanormal"/>
    <w:uiPriority w:val="64"/>
    <w:rsid w:val="00F32801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argrafodaLista">
    <w:name w:val="List Paragraph"/>
    <w:basedOn w:val="Normal"/>
    <w:uiPriority w:val="99"/>
    <w:qFormat/>
    <w:rsid w:val="00F32801"/>
    <w:pPr>
      <w:ind w:left="720"/>
      <w:contextualSpacing/>
    </w:pPr>
    <w:rPr>
      <w:rFonts w:ascii="Calibri" w:hAnsi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2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28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971D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971DE"/>
  </w:style>
  <w:style w:type="paragraph" w:styleId="Rodap">
    <w:name w:val="footer"/>
    <w:basedOn w:val="Normal"/>
    <w:link w:val="RodapChar"/>
    <w:uiPriority w:val="99"/>
    <w:unhideWhenUsed/>
    <w:rsid w:val="009971D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1DE"/>
  </w:style>
  <w:style w:type="paragraph" w:customStyle="1" w:styleId="Default">
    <w:name w:val="Default"/>
    <w:rsid w:val="00A85E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AA5FB5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E41D92"/>
    <w:pPr>
      <w:spacing w:line="240" w:lineRule="auto"/>
      <w:ind w:firstLine="0"/>
      <w:jc w:val="left"/>
    </w:pPr>
    <w:rPr>
      <w:rFonts w:ascii="Times New Roman" w:eastAsia="Times New Roman" w:hAnsi="Times New Roman"/>
      <w:b/>
      <w:bCs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41D92"/>
    <w:rPr>
      <w:rFonts w:ascii="Times New Roman" w:eastAsia="Times New Roman" w:hAnsi="Times New Roman"/>
      <w:b/>
      <w:bCs/>
    </w:rPr>
  </w:style>
  <w:style w:type="character" w:styleId="Refdenotaderodap">
    <w:name w:val="footnote reference"/>
    <w:basedOn w:val="Fontepargpadro"/>
    <w:uiPriority w:val="99"/>
    <w:semiHidden/>
    <w:unhideWhenUsed/>
    <w:rsid w:val="00AA7661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B94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392"/>
    <w:pPr>
      <w:spacing w:line="360" w:lineRule="auto"/>
      <w:ind w:firstLine="284"/>
      <w:jc w:val="both"/>
    </w:pPr>
    <w:rPr>
      <w:rFonts w:ascii="Trebuchet MS" w:hAnsi="Trebuchet MS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7356B"/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7356B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ListaMdia2-nfase1">
    <w:name w:val="Medium List 2 Accent 1"/>
    <w:basedOn w:val="Tabelanormal"/>
    <w:uiPriority w:val="66"/>
    <w:rsid w:val="00F32801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elacomgrade">
    <w:name w:val="Table Grid"/>
    <w:basedOn w:val="Tabelanormal"/>
    <w:uiPriority w:val="59"/>
    <w:rsid w:val="00F3280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Mdio2-nfase2">
    <w:name w:val="Medium Shading 2 Accent 2"/>
    <w:basedOn w:val="Tabelanormal"/>
    <w:uiPriority w:val="64"/>
    <w:rsid w:val="00F32801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argrafodaLista">
    <w:name w:val="List Paragraph"/>
    <w:basedOn w:val="Normal"/>
    <w:uiPriority w:val="99"/>
    <w:qFormat/>
    <w:rsid w:val="00F32801"/>
    <w:pPr>
      <w:ind w:left="720"/>
      <w:contextualSpacing/>
    </w:pPr>
    <w:rPr>
      <w:rFonts w:ascii="Calibri" w:hAnsi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2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28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971D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971DE"/>
  </w:style>
  <w:style w:type="paragraph" w:styleId="Rodap">
    <w:name w:val="footer"/>
    <w:basedOn w:val="Normal"/>
    <w:link w:val="RodapChar"/>
    <w:uiPriority w:val="99"/>
    <w:unhideWhenUsed/>
    <w:rsid w:val="009971D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1DE"/>
  </w:style>
  <w:style w:type="paragraph" w:customStyle="1" w:styleId="Default">
    <w:name w:val="Default"/>
    <w:rsid w:val="00A85E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AA5FB5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E41D92"/>
    <w:pPr>
      <w:spacing w:line="240" w:lineRule="auto"/>
      <w:ind w:firstLine="0"/>
      <w:jc w:val="left"/>
    </w:pPr>
    <w:rPr>
      <w:rFonts w:ascii="Times New Roman" w:eastAsia="Times New Roman" w:hAnsi="Times New Roman"/>
      <w:b/>
      <w:bCs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41D92"/>
    <w:rPr>
      <w:rFonts w:ascii="Times New Roman" w:eastAsia="Times New Roman" w:hAnsi="Times New Roman"/>
      <w:b/>
      <w:bCs/>
    </w:rPr>
  </w:style>
  <w:style w:type="character" w:styleId="Refdenotaderodap">
    <w:name w:val="footnote reference"/>
    <w:basedOn w:val="Fontepargpadro"/>
    <w:uiPriority w:val="99"/>
    <w:semiHidden/>
    <w:unhideWhenUsed/>
    <w:rsid w:val="00AA7661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B94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hyperlink" Target="http://www.abiquifi.org.br" TargetMode="External"/><Relationship Id="rId26" Type="http://schemas.openxmlformats.org/officeDocument/2006/relationships/hyperlink" Target="http://formulario.inpi.gov.br/MarcaPatente/jsp/servimg/servimg.jsp?BasePesquisa=Patent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da.gov/Drugs/GuidanceComplianceRegulatoryInformation/DrugRegistrationandListing/default.htm" TargetMode="Externa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hyperlink" Target="http://www.projetopib.org/?p=documentos" TargetMode="External"/><Relationship Id="rId25" Type="http://schemas.openxmlformats.org/officeDocument/2006/relationships/hyperlink" Target="http://www.legislacao.planalto.gov.br/legisla/legislacao.nsf/Viw_Identificacao/dec%201.355-1994?OpenDocume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lanalto.gov.br/ccivil_03/leis/l9279.htm" TargetMode="External"/><Relationship Id="rId20" Type="http://schemas.openxmlformats.org/officeDocument/2006/relationships/hyperlink" Target="http://www.abifina.org.br/factoNoticia.asp?cod=380" TargetMode="External"/><Relationship Id="rId29" Type="http://schemas.openxmlformats.org/officeDocument/2006/relationships/hyperlink" Target="http://www7.anvisa.gov.br/datavisa/consulta_produto/Medicamentos/frmConsultaMedicamentos.as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hyperlink" Target="http://chemicalinfo.com/database-products/dwcp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2.dbd.puc-rio.br/pergamum/tesesabertas/0310773_06_pretextual.pdf" TargetMode="External"/><Relationship Id="rId23" Type="http://schemas.openxmlformats.org/officeDocument/2006/relationships/hyperlink" Target="http://www.abiquifi.org.br/mercado_estatisticas.html" TargetMode="External"/><Relationship Id="rId28" Type="http://schemas.openxmlformats.org/officeDocument/2006/relationships/hyperlink" Target="http://www.abiquifi.org.br/publicacoes/Index_2013/index.html" TargetMode="External"/><Relationship Id="rId10" Type="http://schemas.openxmlformats.org/officeDocument/2006/relationships/footer" Target="footer2.xml"/><Relationship Id="rId19" Type="http://schemas.openxmlformats.org/officeDocument/2006/relationships/hyperlink" Target="http://aliceweb2.mdic.gov.br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4.xml"/><Relationship Id="rId22" Type="http://schemas.openxmlformats.org/officeDocument/2006/relationships/hyperlink" Target="http://www.ema.europa.eu/ema/index.jsp?curl=pages/regulation/general/general_content_000316.jsp&amp;mid=WC0b01ac05800a4902" TargetMode="External"/><Relationship Id="rId27" Type="http://schemas.openxmlformats.org/officeDocument/2006/relationships/hyperlink" Target="http://portal.anvisa.gov.br/wps/portal/anvisa/anvisa/servico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jorgecosta@fiocruz.br" TargetMode="External"/><Relationship Id="rId2" Type="http://schemas.openxmlformats.org/officeDocument/2006/relationships/hyperlink" Target="mailto:dtabak@far.fiocruz.br" TargetMode="External"/><Relationship Id="rId1" Type="http://schemas.openxmlformats.org/officeDocument/2006/relationships/hyperlink" Target="mailto:divabarrio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tigo_Diva_Versao_Completa_30_08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ESTRADO%20FARMANGUINHOS\DISSERTA&#199;&#195;O\Distribui&#231;&#227;o%20IFAs%20por%20criteri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enfermagem\Meus%20documentos\Gr&#225;ficos%20e%20Quadros%20Artig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enfermagem\Meus%20documentos\Gr&#225;ficos%20e%20Quadros%20Artig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enfermagem\Meus%20documentos\Gr&#225;ficos%20e%20Quadros%20Artig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Plan1!$B$3:$K$3</c:f>
              <c:strCache>
                <c:ptCount val="10"/>
                <c:pt idx="0">
                  <c:v>Critério I</c:v>
                </c:pt>
                <c:pt idx="1">
                  <c:v>Critério II</c:v>
                </c:pt>
                <c:pt idx="2">
                  <c:v>Critério III</c:v>
                </c:pt>
                <c:pt idx="3">
                  <c:v>Critério IV</c:v>
                </c:pt>
                <c:pt idx="4">
                  <c:v>Critério V</c:v>
                </c:pt>
                <c:pt idx="5">
                  <c:v>Critério VI</c:v>
                </c:pt>
                <c:pt idx="6">
                  <c:v>Critério VII</c:v>
                </c:pt>
                <c:pt idx="7">
                  <c:v>Critério VIII</c:v>
                </c:pt>
                <c:pt idx="8">
                  <c:v>Critério IX</c:v>
                </c:pt>
                <c:pt idx="9">
                  <c:v>Critério X</c:v>
                </c:pt>
              </c:strCache>
            </c:strRef>
          </c:cat>
          <c:val>
            <c:numRef>
              <c:f>Plan1!$B$4:$K$4</c:f>
              <c:numCache>
                <c:formatCode>General</c:formatCode>
                <c:ptCount val="10"/>
                <c:pt idx="0">
                  <c:v>7</c:v>
                </c:pt>
                <c:pt idx="1">
                  <c:v>11</c:v>
                </c:pt>
                <c:pt idx="2">
                  <c:v>8</c:v>
                </c:pt>
                <c:pt idx="3">
                  <c:v>6</c:v>
                </c:pt>
                <c:pt idx="4">
                  <c:v>18</c:v>
                </c:pt>
                <c:pt idx="5">
                  <c:v>6</c:v>
                </c:pt>
                <c:pt idx="6">
                  <c:v>2</c:v>
                </c:pt>
                <c:pt idx="7">
                  <c:v>7</c:v>
                </c:pt>
                <c:pt idx="8">
                  <c:v>13</c:v>
                </c:pt>
                <c:pt idx="9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641920"/>
        <c:axId val="131866624"/>
      </c:barChart>
      <c:catAx>
        <c:axId val="130641920"/>
        <c:scaling>
          <c:orientation val="minMax"/>
        </c:scaling>
        <c:delete val="0"/>
        <c:axPos val="b"/>
        <c:majorTickMark val="out"/>
        <c:minorTickMark val="none"/>
        <c:tickLblPos val="nextTo"/>
        <c:crossAx val="131866624"/>
        <c:crosses val="autoZero"/>
        <c:auto val="1"/>
        <c:lblAlgn val="ctr"/>
        <c:lblOffset val="100"/>
        <c:noMultiLvlLbl val="0"/>
      </c:catAx>
      <c:valAx>
        <c:axId val="13186662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306419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33"/>
    </mc:Choice>
    <mc:Fallback>
      <c:style val="33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'Gráfico 2'!$B$4:$B$8</c:f>
              <c:strCache>
                <c:ptCount val="5"/>
                <c:pt idx="0">
                  <c:v>China</c:v>
                </c:pt>
                <c:pt idx="1">
                  <c:v>Índia</c:v>
                </c:pt>
                <c:pt idx="2">
                  <c:v>UE</c:v>
                </c:pt>
                <c:pt idx="3">
                  <c:v>EUA</c:v>
                </c:pt>
                <c:pt idx="4">
                  <c:v>Outros</c:v>
                </c:pt>
              </c:strCache>
            </c:strRef>
          </c:cat>
          <c:val>
            <c:numRef>
              <c:f>'Gráfico 2'!$C$4:$C$8</c:f>
              <c:numCache>
                <c:formatCode>0%</c:formatCode>
                <c:ptCount val="5"/>
                <c:pt idx="0">
                  <c:v>0.43000000000000038</c:v>
                </c:pt>
                <c:pt idx="1">
                  <c:v>0.23</c:v>
                </c:pt>
                <c:pt idx="2">
                  <c:v>0.14000000000000001</c:v>
                </c:pt>
                <c:pt idx="3">
                  <c:v>0.1</c:v>
                </c:pt>
                <c:pt idx="4">
                  <c:v>0.1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.19883271837397137"/>
          <c:y val="0.84677071280068816"/>
          <c:w val="0.6538643539122827"/>
          <c:h val="8.1544699385695751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33"/>
    </mc:Choice>
    <mc:Fallback>
      <c:style val="33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8813521803751431E-3"/>
          <c:y val="0.11805555555555559"/>
          <c:w val="0.8171690225468875"/>
          <c:h val="0.78703703703703709"/>
        </c:manualLayout>
      </c:layout>
      <c:pie3DChart>
        <c:varyColors val="1"/>
        <c:ser>
          <c:idx val="0"/>
          <c:order val="0"/>
          <c:explosion val="25"/>
          <c:dLbls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'Gráfico 3'!$B$4:$B$8</c:f>
              <c:strCache>
                <c:ptCount val="5"/>
                <c:pt idx="0">
                  <c:v>China</c:v>
                </c:pt>
                <c:pt idx="1">
                  <c:v>Índia</c:v>
                </c:pt>
                <c:pt idx="2">
                  <c:v>UE</c:v>
                </c:pt>
                <c:pt idx="3">
                  <c:v>Outros </c:v>
                </c:pt>
                <c:pt idx="4">
                  <c:v>EUA</c:v>
                </c:pt>
              </c:strCache>
            </c:strRef>
          </c:cat>
          <c:val>
            <c:numRef>
              <c:f>'Gráfico 3'!$C$4:$C$8</c:f>
              <c:numCache>
                <c:formatCode>0%</c:formatCode>
                <c:ptCount val="5"/>
                <c:pt idx="0">
                  <c:v>0.48000000000000032</c:v>
                </c:pt>
                <c:pt idx="1">
                  <c:v>0.30000000000000032</c:v>
                </c:pt>
                <c:pt idx="2">
                  <c:v>0.17</c:v>
                </c:pt>
                <c:pt idx="3">
                  <c:v>3.0000000000000002E-2</c:v>
                </c:pt>
                <c:pt idx="4">
                  <c:v>2.0000000000000011E-2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2898801505233533"/>
          <c:y val="0.28417614464858559"/>
          <c:w val="0.16976883913607377"/>
          <c:h val="0.41835629921260375"/>
        </c:manualLayout>
      </c:layout>
      <c:overlay val="1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33"/>
    </mc:Choice>
    <mc:Fallback>
      <c:style val="33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4722222222222224E-2"/>
          <c:y val="9.9537037037037243E-2"/>
          <c:w val="0.81388888888889366"/>
          <c:h val="0.77314814814815425"/>
        </c:manualLayout>
      </c:layout>
      <c:pie3DChart>
        <c:varyColors val="1"/>
        <c:ser>
          <c:idx val="0"/>
          <c:order val="0"/>
          <c:explosion val="25"/>
          <c:dLbls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'Gráfico 4'!$B$3:$B$8</c:f>
              <c:strCache>
                <c:ptCount val="6"/>
                <c:pt idx="0">
                  <c:v>UE</c:v>
                </c:pt>
                <c:pt idx="1">
                  <c:v>China</c:v>
                </c:pt>
                <c:pt idx="2">
                  <c:v>Brasil</c:v>
                </c:pt>
                <c:pt idx="3">
                  <c:v>Índia</c:v>
                </c:pt>
                <c:pt idx="4">
                  <c:v>Outros</c:v>
                </c:pt>
                <c:pt idx="5">
                  <c:v>EUA</c:v>
                </c:pt>
              </c:strCache>
            </c:strRef>
          </c:cat>
          <c:val>
            <c:numRef>
              <c:f>'Gráfico 4'!$C$3:$C$8</c:f>
              <c:numCache>
                <c:formatCode>0%</c:formatCode>
                <c:ptCount val="6"/>
                <c:pt idx="0">
                  <c:v>0.30000000000000032</c:v>
                </c:pt>
                <c:pt idx="1">
                  <c:v>0.21000000000000021</c:v>
                </c:pt>
                <c:pt idx="2">
                  <c:v>0.2</c:v>
                </c:pt>
                <c:pt idx="3">
                  <c:v>0.2</c:v>
                </c:pt>
                <c:pt idx="4">
                  <c:v>8.0000000000000043E-2</c:v>
                </c:pt>
                <c:pt idx="5">
                  <c:v>1.0000000000000005E-2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4067089174829268"/>
          <c:y val="0.18549431321084894"/>
          <c:w val="0.15607681966583445"/>
          <c:h val="0.52393236559715195"/>
        </c:manualLayout>
      </c:layout>
      <c:overlay val="1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C0652-A34F-4D9D-AA82-14438B7C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Artigo_Diva_Versao_Completa_30_08</Template>
  <TotalTime>44</TotalTime>
  <Pages>22</Pages>
  <Words>7308</Words>
  <Characters>39464</Characters>
  <Application>Microsoft Office Word</Application>
  <DocSecurity>0</DocSecurity>
  <Lines>328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46679</CharactersWithSpaces>
  <SharedDoc>false</SharedDoc>
  <HLinks>
    <vt:vector size="18" baseType="variant">
      <vt:variant>
        <vt:i4>5898280</vt:i4>
      </vt:variant>
      <vt:variant>
        <vt:i4>6</vt:i4>
      </vt:variant>
      <vt:variant>
        <vt:i4>0</vt:i4>
      </vt:variant>
      <vt:variant>
        <vt:i4>5</vt:i4>
      </vt:variant>
      <vt:variant>
        <vt:lpwstr>mailto:diva@abifina.org.br</vt:lpwstr>
      </vt:variant>
      <vt:variant>
        <vt:lpwstr/>
      </vt:variant>
      <vt:variant>
        <vt:i4>2752576</vt:i4>
      </vt:variant>
      <vt:variant>
        <vt:i4>3</vt:i4>
      </vt:variant>
      <vt:variant>
        <vt:i4>0</vt:i4>
      </vt:variant>
      <vt:variant>
        <vt:i4>5</vt:i4>
      </vt:variant>
      <vt:variant>
        <vt:lpwstr>mailto:dtabak@far.fiocruz.br</vt:lpwstr>
      </vt:variant>
      <vt:variant>
        <vt:lpwstr/>
      </vt:variant>
      <vt:variant>
        <vt:i4>6750288</vt:i4>
      </vt:variant>
      <vt:variant>
        <vt:i4>0</vt:i4>
      </vt:variant>
      <vt:variant>
        <vt:i4>0</vt:i4>
      </vt:variant>
      <vt:variant>
        <vt:i4>5</vt:i4>
      </vt:variant>
      <vt:variant>
        <vt:lpwstr>mailto:jorgecosta@fiocruz.br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diva</dc:creator>
  <cp:lastModifiedBy>jorge costa</cp:lastModifiedBy>
  <cp:revision>6</cp:revision>
  <cp:lastPrinted>2014-09-01T12:56:00Z</cp:lastPrinted>
  <dcterms:created xsi:type="dcterms:W3CDTF">2014-09-01T12:19:00Z</dcterms:created>
  <dcterms:modified xsi:type="dcterms:W3CDTF">2014-09-01T13:13:00Z</dcterms:modified>
</cp:coreProperties>
</file>